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6F0D0" w14:textId="7DFC21D6" w:rsidR="0056005B" w:rsidRDefault="0056005B" w:rsidP="0056005B">
      <w:pPr>
        <w:rPr>
          <w:color w:val="002060"/>
          <w:sz w:val="28"/>
          <w:szCs w:val="28"/>
        </w:rPr>
      </w:pPr>
      <w:r>
        <w:rPr>
          <w:color w:val="002060"/>
          <w:sz w:val="28"/>
          <w:szCs w:val="28"/>
        </w:rPr>
        <w:t xml:space="preserve">Testperioodi </w:t>
      </w:r>
      <w:r w:rsidR="00EE1C10">
        <w:rPr>
          <w:color w:val="002060"/>
          <w:sz w:val="28"/>
          <w:szCs w:val="28"/>
        </w:rPr>
        <w:t>teise</w:t>
      </w:r>
      <w:r>
        <w:rPr>
          <w:color w:val="002060"/>
          <w:sz w:val="28"/>
          <w:szCs w:val="28"/>
        </w:rPr>
        <w:t xml:space="preserve"> nädala kokkuvõte</w:t>
      </w:r>
    </w:p>
    <w:p w14:paraId="4CAB0DBF" w14:textId="147F8B39" w:rsidR="00EE1C10" w:rsidRDefault="00EE1C10" w:rsidP="0056005B">
      <w:pPr>
        <w:rPr>
          <w:color w:val="002060"/>
          <w:sz w:val="28"/>
          <w:szCs w:val="28"/>
        </w:rPr>
      </w:pPr>
      <w:r>
        <w:rPr>
          <w:color w:val="002060"/>
          <w:sz w:val="28"/>
          <w:szCs w:val="28"/>
        </w:rPr>
        <w:t>0</w:t>
      </w:r>
      <w:r w:rsidR="000C59B2">
        <w:rPr>
          <w:color w:val="002060"/>
          <w:sz w:val="28"/>
          <w:szCs w:val="28"/>
        </w:rPr>
        <w:t>6-12.</w:t>
      </w:r>
      <w:r>
        <w:rPr>
          <w:color w:val="002060"/>
          <w:sz w:val="28"/>
          <w:szCs w:val="28"/>
        </w:rPr>
        <w:t>07.2020</w:t>
      </w:r>
    </w:p>
    <w:p w14:paraId="68D10FEF" w14:textId="77777777" w:rsidR="0056005B" w:rsidRDefault="0056005B" w:rsidP="0056005B">
      <w:pPr>
        <w:rPr>
          <w:color w:val="002060"/>
          <w:sz w:val="28"/>
          <w:szCs w:val="28"/>
        </w:rPr>
      </w:pPr>
    </w:p>
    <w:p w14:paraId="375D42C1" w14:textId="39CCDD2F" w:rsidR="0056005B" w:rsidRDefault="00EE1C10" w:rsidP="0056005B">
      <w:r>
        <w:t>Testimi</w:t>
      </w:r>
      <w:r w:rsidR="000C59B2">
        <w:t xml:space="preserve">se viimane nädal. </w:t>
      </w:r>
    </w:p>
    <w:p w14:paraId="034E2D51" w14:textId="77777777" w:rsidR="000C59B2" w:rsidRDefault="000C59B2" w:rsidP="0056005B"/>
    <w:p w14:paraId="0FD6B46B" w14:textId="2742889A" w:rsidR="0056005B" w:rsidRDefault="00FE3044" w:rsidP="0056005B">
      <w:r>
        <w:t xml:space="preserve">Jätkuvalt annavad tooni müügiloata ravimite kontrollimisel põhjustatud hoiatuse teated. Antud kitsaskoha lahendamiseks tuleb leida optimaalne protsess antud ravimite erandite nimekirja kandmiseks. </w:t>
      </w:r>
    </w:p>
    <w:p w14:paraId="15895C25" w14:textId="77777777" w:rsidR="0056005B" w:rsidRDefault="0056005B" w:rsidP="0056005B"/>
    <w:p w14:paraId="51A0A23A" w14:textId="3E7F4B98" w:rsidR="0056005B" w:rsidRDefault="0056005B" w:rsidP="00672E1C">
      <w:pPr>
        <w:jc w:val="both"/>
        <w:rPr>
          <w:b/>
          <w:bCs/>
          <w:color w:val="002060"/>
        </w:rPr>
      </w:pPr>
      <w:r w:rsidRPr="00DB5EC0">
        <w:rPr>
          <w:b/>
          <w:bCs/>
          <w:color w:val="002060"/>
        </w:rPr>
        <w:t xml:space="preserve">REKS poolt tuvastatud probleemid: </w:t>
      </w:r>
    </w:p>
    <w:p w14:paraId="3483E348" w14:textId="4D0FA2C0" w:rsidR="00FE3044" w:rsidRPr="008250A0" w:rsidRDefault="00FE3044" w:rsidP="00672E1C">
      <w:pPr>
        <w:pStyle w:val="Loendilik"/>
        <w:numPr>
          <w:ilvl w:val="0"/>
          <w:numId w:val="2"/>
        </w:numPr>
        <w:jc w:val="both"/>
      </w:pPr>
      <w:proofErr w:type="spellStart"/>
      <w:r w:rsidRPr="00FE3044">
        <w:t>Jaeaptee</w:t>
      </w:r>
      <w:r w:rsidR="008250A0">
        <w:t>gi</w:t>
      </w:r>
      <w:r w:rsidRPr="00FE3044">
        <w:t>d</w:t>
      </w:r>
      <w:proofErr w:type="spellEnd"/>
      <w:r w:rsidRPr="00FE3044">
        <w:t xml:space="preserve"> ei ole kursis, et </w:t>
      </w:r>
      <w:r w:rsidRPr="00672E1C">
        <w:rPr>
          <w:b/>
          <w:bCs/>
        </w:rPr>
        <w:t>nende infosüsteemidesse on üles ehitatud mugavuslahendus teadete edastamiseks</w:t>
      </w:r>
      <w:r w:rsidR="00541516">
        <w:rPr>
          <w:b/>
          <w:bCs/>
        </w:rPr>
        <w:t xml:space="preserve"> </w:t>
      </w:r>
      <w:proofErr w:type="spellStart"/>
      <w:r w:rsidR="00541516">
        <w:rPr>
          <w:b/>
          <w:bCs/>
        </w:rPr>
        <w:t>REKS-le</w:t>
      </w:r>
      <w:proofErr w:type="spellEnd"/>
      <w:r w:rsidRPr="008250A0">
        <w:t>. Eelnevast tulenevalt on testperioodil vastatud REKS edastatud teavitusele, et probleeme ei ole esinenud</w:t>
      </w:r>
      <w:r w:rsidR="00541516">
        <w:t xml:space="preserve"> ning apteek ei ole enda teada mitte ühteagi teavitust esitanud</w:t>
      </w:r>
      <w:r w:rsidRPr="008250A0">
        <w:t xml:space="preserve">. Kõnealune näide teeb murelikuks, kuna viitab asjaolule, et mõned apteekrid ei ole enam kui aasta adunud pakendite ehtsuse kontrolli protsessi või protsessi käigus tekkivaid süsteemi teavitusi. </w:t>
      </w:r>
    </w:p>
    <w:p w14:paraId="495C4CEB" w14:textId="4308107F" w:rsidR="00FE3044" w:rsidRDefault="00FE3044" w:rsidP="00672E1C">
      <w:pPr>
        <w:pStyle w:val="Loendilik"/>
        <w:numPr>
          <w:ilvl w:val="0"/>
          <w:numId w:val="2"/>
        </w:numPr>
        <w:jc w:val="both"/>
      </w:pPr>
      <w:r w:rsidRPr="00672E1C">
        <w:rPr>
          <w:b/>
          <w:bCs/>
        </w:rPr>
        <w:t>Ehtsuse kontrollijaid ei pööra tähelepanu, mis on veateate sisu</w:t>
      </w:r>
      <w:r w:rsidRPr="008250A0">
        <w:t xml:space="preserve">- </w:t>
      </w:r>
      <w:proofErr w:type="spellStart"/>
      <w:r w:rsidRPr="008250A0">
        <w:t>REKSi</w:t>
      </w:r>
      <w:proofErr w:type="spellEnd"/>
      <w:r w:rsidRPr="008250A0">
        <w:t xml:space="preserve"> on jäetud edastamata ilmnenud hoiatuse teated. Samuti on saadetud hilisemale järelepärimisele tagasisideks, et „rida ei läinud roosaks“</w:t>
      </w:r>
      <w:r w:rsidR="008250A0" w:rsidRPr="008250A0">
        <w:t xml:space="preserve">, kuigi mingi kiri tuli siiski ette. Juhime tähelepanu, et kui süsteem teavitab et nt kasutaja parool vajab uuendamist või kui süsteemi päring ei õnnestunud- on ehtsuse kontroll pakendi osas teostamata. Sellisel juhul tuleb pakend uuesti kontrollida. Pakendi ehtsust saab kontrollida ja seda kasutuselt kõrvaldada ka tagantjärgi (ehk kui pakend on juba väljastatud) kuid selleks tuleb talletada pakendi andmed. </w:t>
      </w:r>
    </w:p>
    <w:p w14:paraId="276DB559" w14:textId="230BC0CD" w:rsidR="00672E1C" w:rsidRDefault="00672E1C" w:rsidP="00672E1C">
      <w:pPr>
        <w:pStyle w:val="Loendilik"/>
        <w:numPr>
          <w:ilvl w:val="0"/>
          <w:numId w:val="2"/>
        </w:numPr>
        <w:jc w:val="both"/>
      </w:pPr>
      <w:r>
        <w:rPr>
          <w:b/>
          <w:bCs/>
        </w:rPr>
        <w:t xml:space="preserve">Haiglaapteegid ei teavita hoiatustest </w:t>
      </w:r>
      <w:proofErr w:type="spellStart"/>
      <w:r>
        <w:rPr>
          <w:b/>
          <w:bCs/>
        </w:rPr>
        <w:t>REKS</w:t>
      </w:r>
      <w:r w:rsidRPr="00672E1C">
        <w:t>-</w:t>
      </w:r>
      <w:r>
        <w:t>i</w:t>
      </w:r>
      <w:proofErr w:type="spellEnd"/>
      <w:r>
        <w:t xml:space="preserve"> – kolmanda nädala näitel tuleb tõdeda, et kõik haiglaapteekides ilmnenud hoiatuse teadete osas ei ole tehtud teavitust </w:t>
      </w:r>
      <w:proofErr w:type="spellStart"/>
      <w:r>
        <w:t>REKS-le</w:t>
      </w:r>
      <w:proofErr w:type="spellEnd"/>
      <w:r>
        <w:t xml:space="preserve">. Kõnealuseid hoiatusi on </w:t>
      </w:r>
      <w:proofErr w:type="spellStart"/>
      <w:r>
        <w:t>EtMVS</w:t>
      </w:r>
      <w:proofErr w:type="spellEnd"/>
      <w:r>
        <w:t xml:space="preserve"> statistika kohaselt 44% kõikidest veateadetest.</w:t>
      </w:r>
    </w:p>
    <w:p w14:paraId="4A7D468B" w14:textId="77777777" w:rsidR="00672E1C" w:rsidRPr="008250A0" w:rsidRDefault="00672E1C" w:rsidP="00672E1C">
      <w:pPr>
        <w:pStyle w:val="Loendilik"/>
      </w:pPr>
    </w:p>
    <w:p w14:paraId="58F4D2AB" w14:textId="77777777" w:rsidR="0056005B" w:rsidRDefault="0056005B" w:rsidP="0056005B"/>
    <w:p w14:paraId="4342CEC0" w14:textId="77777777" w:rsidR="0056005B" w:rsidRDefault="0056005B" w:rsidP="0056005B"/>
    <w:tbl>
      <w:tblPr>
        <w:tblStyle w:val="Heleruuttabel1rhk1"/>
        <w:tblW w:w="0" w:type="auto"/>
        <w:tblInd w:w="0" w:type="dxa"/>
        <w:tblLook w:val="04A0" w:firstRow="1" w:lastRow="0" w:firstColumn="1" w:lastColumn="0" w:noHBand="0" w:noVBand="1"/>
      </w:tblPr>
      <w:tblGrid>
        <w:gridCol w:w="1838"/>
        <w:gridCol w:w="4876"/>
        <w:gridCol w:w="2302"/>
      </w:tblGrid>
      <w:tr w:rsidR="0056005B" w14:paraId="2AEA499E" w14:textId="77777777" w:rsidTr="0056005B">
        <w:trPr>
          <w:cnfStyle w:val="100000000000" w:firstRow="1" w:lastRow="0"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4C6E7" w:themeColor="accent1" w:themeTint="66"/>
              <w:left w:val="single" w:sz="4" w:space="0" w:color="B4C6E7" w:themeColor="accent1" w:themeTint="66"/>
              <w:right w:val="single" w:sz="4" w:space="0" w:color="B4C6E7" w:themeColor="accent1" w:themeTint="66"/>
            </w:tcBorders>
          </w:tcPr>
          <w:p w14:paraId="7502736A" w14:textId="77777777" w:rsidR="0056005B" w:rsidRDefault="0056005B"/>
        </w:tc>
        <w:tc>
          <w:tcPr>
            <w:tcW w:w="4876" w:type="dxa"/>
            <w:tcBorders>
              <w:top w:val="single" w:sz="4" w:space="0" w:color="B4C6E7" w:themeColor="accent1" w:themeTint="66"/>
              <w:left w:val="single" w:sz="4" w:space="0" w:color="B4C6E7" w:themeColor="accent1" w:themeTint="66"/>
              <w:right w:val="single" w:sz="4" w:space="0" w:color="B4C6E7" w:themeColor="accent1" w:themeTint="66"/>
            </w:tcBorders>
          </w:tcPr>
          <w:p w14:paraId="7A129746" w14:textId="77777777" w:rsidR="0056005B" w:rsidRDefault="0056005B">
            <w:pPr>
              <w:jc w:val="center"/>
              <w:cnfStyle w:val="100000000000" w:firstRow="1" w:lastRow="0" w:firstColumn="0" w:lastColumn="0" w:oddVBand="0" w:evenVBand="0" w:oddHBand="0" w:evenHBand="0" w:firstRowFirstColumn="0" w:firstRowLastColumn="0" w:lastRowFirstColumn="0" w:lastRowLastColumn="0"/>
            </w:pPr>
          </w:p>
        </w:tc>
        <w:tc>
          <w:tcPr>
            <w:tcW w:w="2302"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36425CAE" w14:textId="445B93C8" w:rsidR="0056005B" w:rsidRDefault="00F96CF3">
            <w:pPr>
              <w:jc w:val="center"/>
              <w:cnfStyle w:val="100000000000" w:firstRow="1" w:lastRow="0" w:firstColumn="0" w:lastColumn="0" w:oddVBand="0" w:evenVBand="0" w:oddHBand="0" w:evenHBand="0" w:firstRowFirstColumn="0" w:firstRowLastColumn="0" w:lastRowFirstColumn="0" w:lastRowLastColumn="0"/>
            </w:pPr>
            <w:r>
              <w:t>06-12.07.2020</w:t>
            </w:r>
          </w:p>
        </w:tc>
      </w:tr>
      <w:tr w:rsidR="0056005B" w14:paraId="1CA19729" w14:textId="77777777" w:rsidTr="0056005B">
        <w:trPr>
          <w:trHeight w:val="255"/>
        </w:trPr>
        <w:tc>
          <w:tcPr>
            <w:cnfStyle w:val="001000000000" w:firstRow="0" w:lastRow="0" w:firstColumn="1" w:lastColumn="0" w:oddVBand="0" w:evenVBand="0" w:oddHBand="0" w:evenHBand="0" w:firstRowFirstColumn="0" w:firstRowLastColumn="0" w:lastRowFirstColumn="0" w:lastRowLastColumn="0"/>
            <w:tcW w:w="6714" w:type="dxa"/>
            <w:gridSpan w:val="2"/>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D9E2F3" w:themeFill="accent1" w:themeFillTint="33"/>
            <w:hideMark/>
          </w:tcPr>
          <w:p w14:paraId="7916F408" w14:textId="77777777" w:rsidR="0056005B" w:rsidRDefault="0056005B" w:rsidP="0056005B">
            <w:r>
              <w:t xml:space="preserve">Kokku esitatud teated e-kirjaga v veebivormilt sh: </w:t>
            </w:r>
          </w:p>
        </w:tc>
        <w:tc>
          <w:tcPr>
            <w:tcW w:w="230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D9E2F3" w:themeFill="accent1" w:themeFillTint="33"/>
            <w:hideMark/>
          </w:tcPr>
          <w:p w14:paraId="009CDB9C" w14:textId="3175EB75" w:rsidR="0056005B" w:rsidRPr="00541516" w:rsidRDefault="00541516" w:rsidP="00541516">
            <w:pPr>
              <w:jc w:val="center"/>
              <w:cnfStyle w:val="000000000000" w:firstRow="0" w:lastRow="0" w:firstColumn="0" w:lastColumn="0" w:oddVBand="0" w:evenVBand="0" w:oddHBand="0" w:evenHBand="0" w:firstRowFirstColumn="0" w:firstRowLastColumn="0" w:lastRowFirstColumn="0" w:lastRowLastColumn="0"/>
              <w:rPr>
                <w:b/>
                <w:bCs/>
              </w:rPr>
            </w:pPr>
            <w:r w:rsidRPr="00541516">
              <w:rPr>
                <w:b/>
                <w:bCs/>
              </w:rPr>
              <w:t>190</w:t>
            </w:r>
          </w:p>
        </w:tc>
      </w:tr>
      <w:tr w:rsidR="0056005B" w14:paraId="0B64FDB5" w14:textId="77777777" w:rsidTr="008969F1">
        <w:trPr>
          <w:trHeight w:val="250"/>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B4C6E7" w:themeColor="accent1" w:themeTint="66"/>
              <w:left w:val="single" w:sz="4" w:space="0" w:color="B4C6E7" w:themeColor="accent1" w:themeTint="66"/>
              <w:right w:val="single" w:sz="4" w:space="0" w:color="B4C6E7" w:themeColor="accent1" w:themeTint="66"/>
            </w:tcBorders>
            <w:hideMark/>
          </w:tcPr>
          <w:p w14:paraId="7E30CF2B" w14:textId="77777777" w:rsidR="0056005B" w:rsidRDefault="0056005B">
            <w:pPr>
              <w:jc w:val="right"/>
            </w:pPr>
          </w:p>
        </w:tc>
        <w:tc>
          <w:tcPr>
            <w:tcW w:w="487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18890B5" w14:textId="77777777" w:rsidR="0056005B" w:rsidRDefault="0056005B" w:rsidP="0056005B">
            <w:pPr>
              <w:jc w:val="both"/>
              <w:cnfStyle w:val="000000000000" w:firstRow="0" w:lastRow="0" w:firstColumn="0" w:lastColumn="0" w:oddVBand="0" w:evenVBand="0" w:oddHBand="0" w:evenHBand="0" w:firstRowFirstColumn="0" w:firstRowLastColumn="0" w:lastRowFirstColumn="0" w:lastRowLastColumn="0"/>
            </w:pPr>
            <w:r>
              <w:t>Menetlus lõpetatid süsteemi poolse automaatse teavitusega</w:t>
            </w:r>
          </w:p>
        </w:tc>
        <w:tc>
          <w:tcPr>
            <w:tcW w:w="230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5F243729" w14:textId="6D0B78A2" w:rsidR="0056005B" w:rsidRDefault="00101EF6">
            <w:pPr>
              <w:jc w:val="center"/>
              <w:cnfStyle w:val="000000000000" w:firstRow="0" w:lastRow="0" w:firstColumn="0" w:lastColumn="0" w:oddVBand="0" w:evenVBand="0" w:oddHBand="0" w:evenHBand="0" w:firstRowFirstColumn="0" w:firstRowLastColumn="0" w:lastRowFirstColumn="0" w:lastRowLastColumn="0"/>
            </w:pPr>
            <w:r>
              <w:t>80</w:t>
            </w:r>
          </w:p>
        </w:tc>
      </w:tr>
      <w:tr w:rsidR="0056005B" w14:paraId="230B6BBE" w14:textId="77777777" w:rsidTr="008969F1">
        <w:trPr>
          <w:trHeight w:val="255"/>
        </w:trPr>
        <w:tc>
          <w:tcPr>
            <w:cnfStyle w:val="001000000000" w:firstRow="0" w:lastRow="0" w:firstColumn="1" w:lastColumn="0" w:oddVBand="0" w:evenVBand="0" w:oddHBand="0" w:evenHBand="0" w:firstRowFirstColumn="0" w:firstRowLastColumn="0" w:lastRowFirstColumn="0" w:lastRowLastColumn="0"/>
            <w:tcW w:w="1838" w:type="dxa"/>
            <w:vMerge/>
            <w:tcBorders>
              <w:left w:val="single" w:sz="4" w:space="0" w:color="B4C6E7" w:themeColor="accent1" w:themeTint="66"/>
              <w:right w:val="single" w:sz="4" w:space="0" w:color="B4C6E7" w:themeColor="accent1" w:themeTint="66"/>
            </w:tcBorders>
            <w:hideMark/>
          </w:tcPr>
          <w:p w14:paraId="3C65CC1D" w14:textId="77777777" w:rsidR="0056005B" w:rsidRDefault="0056005B">
            <w:pPr>
              <w:jc w:val="right"/>
            </w:pPr>
          </w:p>
        </w:tc>
        <w:tc>
          <w:tcPr>
            <w:tcW w:w="487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85459B1" w14:textId="77777777" w:rsidR="0056005B" w:rsidRDefault="0056005B" w:rsidP="0056005B">
            <w:pPr>
              <w:jc w:val="both"/>
              <w:cnfStyle w:val="000000000000" w:firstRow="0" w:lastRow="0" w:firstColumn="0" w:lastColumn="0" w:oddVBand="0" w:evenVBand="0" w:oddHBand="0" w:evenHBand="0" w:firstRowFirstColumn="0" w:firstRowLastColumn="0" w:lastRowFirstColumn="0" w:lastRowLastColumn="0"/>
            </w:pPr>
            <w:r>
              <w:t>Menetlus lõpetatid REKS manuaalse kontrolli järel</w:t>
            </w:r>
          </w:p>
        </w:tc>
        <w:tc>
          <w:tcPr>
            <w:tcW w:w="230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47019705" w14:textId="67BFA4C9" w:rsidR="0056005B" w:rsidRDefault="00101EF6" w:rsidP="00101EF6">
            <w:pPr>
              <w:jc w:val="center"/>
              <w:cnfStyle w:val="000000000000" w:firstRow="0" w:lastRow="0" w:firstColumn="0" w:lastColumn="0" w:oddVBand="0" w:evenVBand="0" w:oddHBand="0" w:evenHBand="0" w:firstRowFirstColumn="0" w:firstRowLastColumn="0" w:lastRowFirstColumn="0" w:lastRowLastColumn="0"/>
            </w:pPr>
            <w:r>
              <w:t>82</w:t>
            </w:r>
          </w:p>
        </w:tc>
      </w:tr>
      <w:tr w:rsidR="0056005B" w14:paraId="6CDA06F1" w14:textId="77777777" w:rsidTr="008969F1">
        <w:trPr>
          <w:trHeight w:val="255"/>
        </w:trPr>
        <w:tc>
          <w:tcPr>
            <w:cnfStyle w:val="001000000000" w:firstRow="0" w:lastRow="0" w:firstColumn="1" w:lastColumn="0" w:oddVBand="0" w:evenVBand="0" w:oddHBand="0" w:evenHBand="0" w:firstRowFirstColumn="0" w:firstRowLastColumn="0" w:lastRowFirstColumn="0" w:lastRowLastColumn="0"/>
            <w:tcW w:w="1838" w:type="dxa"/>
            <w:vMerge/>
            <w:tcBorders>
              <w:left w:val="single" w:sz="4" w:space="0" w:color="B4C6E7" w:themeColor="accent1" w:themeTint="66"/>
              <w:right w:val="single" w:sz="4" w:space="0" w:color="B4C6E7" w:themeColor="accent1" w:themeTint="66"/>
            </w:tcBorders>
            <w:hideMark/>
          </w:tcPr>
          <w:p w14:paraId="08311219" w14:textId="77777777" w:rsidR="0056005B" w:rsidRDefault="0056005B">
            <w:pPr>
              <w:jc w:val="right"/>
            </w:pPr>
          </w:p>
        </w:tc>
        <w:tc>
          <w:tcPr>
            <w:tcW w:w="487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5D8FF3CA" w14:textId="77777777" w:rsidR="0056005B" w:rsidRDefault="0056005B" w:rsidP="0056005B">
            <w:pPr>
              <w:jc w:val="both"/>
              <w:cnfStyle w:val="000000000000" w:firstRow="0" w:lastRow="0" w:firstColumn="0" w:lastColumn="0" w:oddVBand="0" w:evenVBand="0" w:oddHBand="0" w:evenHBand="0" w:firstRowFirstColumn="0" w:firstRowLastColumn="0" w:lastRowFirstColumn="0" w:lastRowLastColumn="0"/>
            </w:pPr>
            <w:r>
              <w:t>Täiendavate andmete küsimiseks jäi teateid ootele</w:t>
            </w:r>
          </w:p>
        </w:tc>
        <w:tc>
          <w:tcPr>
            <w:tcW w:w="230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76887AC0" w14:textId="3E21A091" w:rsidR="0056005B" w:rsidRDefault="00101EF6">
            <w:pPr>
              <w:jc w:val="center"/>
              <w:cnfStyle w:val="000000000000" w:firstRow="0" w:lastRow="0" w:firstColumn="0" w:lastColumn="0" w:oddVBand="0" w:evenVBand="0" w:oddHBand="0" w:evenHBand="0" w:firstRowFirstColumn="0" w:firstRowLastColumn="0" w:lastRowFirstColumn="0" w:lastRowLastColumn="0"/>
            </w:pPr>
            <w:r>
              <w:t>5</w:t>
            </w:r>
          </w:p>
        </w:tc>
      </w:tr>
      <w:tr w:rsidR="0056005B" w14:paraId="242C9109" w14:textId="77777777" w:rsidTr="008969F1">
        <w:trPr>
          <w:trHeight w:val="250"/>
        </w:trPr>
        <w:tc>
          <w:tcPr>
            <w:cnfStyle w:val="001000000000" w:firstRow="0" w:lastRow="0" w:firstColumn="1" w:lastColumn="0" w:oddVBand="0" w:evenVBand="0" w:oddHBand="0" w:evenHBand="0" w:firstRowFirstColumn="0" w:firstRowLastColumn="0" w:lastRowFirstColumn="0" w:lastRowLastColumn="0"/>
            <w:tcW w:w="1838" w:type="dxa"/>
            <w:vMerge/>
            <w:tcBorders>
              <w:left w:val="single" w:sz="4" w:space="0" w:color="B4C6E7" w:themeColor="accent1" w:themeTint="66"/>
              <w:right w:val="single" w:sz="4" w:space="0" w:color="B4C6E7" w:themeColor="accent1" w:themeTint="66"/>
            </w:tcBorders>
            <w:hideMark/>
          </w:tcPr>
          <w:p w14:paraId="03493AAC" w14:textId="77777777" w:rsidR="0056005B" w:rsidRDefault="0056005B">
            <w:pPr>
              <w:jc w:val="right"/>
            </w:pPr>
          </w:p>
        </w:tc>
        <w:tc>
          <w:tcPr>
            <w:tcW w:w="487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2B5C9A59" w14:textId="77777777" w:rsidR="0056005B" w:rsidRDefault="0056005B" w:rsidP="0056005B">
            <w:pPr>
              <w:jc w:val="both"/>
              <w:cnfStyle w:val="000000000000" w:firstRow="0" w:lastRow="0" w:firstColumn="0" w:lastColumn="0" w:oddVBand="0" w:evenVBand="0" w:oddHBand="0" w:evenHBand="0" w:firstRowFirstColumn="0" w:firstRowLastColumn="0" w:lastRowFirstColumn="0" w:lastRowLastColumn="0"/>
            </w:pPr>
            <w:proofErr w:type="spellStart"/>
            <w:r>
              <w:t>MLHle</w:t>
            </w:r>
            <w:proofErr w:type="spellEnd"/>
            <w:r>
              <w:t xml:space="preserve"> tehti järelepärimine ja teated jäid ootele</w:t>
            </w:r>
          </w:p>
        </w:tc>
        <w:tc>
          <w:tcPr>
            <w:tcW w:w="230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A9A1537" w14:textId="2B19A395" w:rsidR="0056005B" w:rsidRDefault="00101EF6">
            <w:pPr>
              <w:jc w:val="center"/>
              <w:cnfStyle w:val="000000000000" w:firstRow="0" w:lastRow="0" w:firstColumn="0" w:lastColumn="0" w:oddVBand="0" w:evenVBand="0" w:oddHBand="0" w:evenHBand="0" w:firstRowFirstColumn="0" w:firstRowLastColumn="0" w:lastRowFirstColumn="0" w:lastRowLastColumn="0"/>
            </w:pPr>
            <w:r>
              <w:t>3</w:t>
            </w:r>
          </w:p>
        </w:tc>
      </w:tr>
      <w:tr w:rsidR="0056005B" w14:paraId="1AD4F736" w14:textId="77777777" w:rsidTr="008969F1">
        <w:trPr>
          <w:trHeight w:val="255"/>
        </w:trPr>
        <w:tc>
          <w:tcPr>
            <w:cnfStyle w:val="001000000000" w:firstRow="0" w:lastRow="0" w:firstColumn="1" w:lastColumn="0" w:oddVBand="0" w:evenVBand="0" w:oddHBand="0" w:evenHBand="0" w:firstRowFirstColumn="0" w:firstRowLastColumn="0" w:lastRowFirstColumn="0" w:lastRowLastColumn="0"/>
            <w:tcW w:w="1838" w:type="dxa"/>
            <w:vMerge/>
            <w:tcBorders>
              <w:left w:val="single" w:sz="4" w:space="0" w:color="B4C6E7" w:themeColor="accent1" w:themeTint="66"/>
              <w:bottom w:val="single" w:sz="4" w:space="0" w:color="B4C6E7" w:themeColor="accent1" w:themeTint="66"/>
              <w:right w:val="single" w:sz="4" w:space="0" w:color="B4C6E7" w:themeColor="accent1" w:themeTint="66"/>
            </w:tcBorders>
          </w:tcPr>
          <w:p w14:paraId="5CC4C6A2" w14:textId="77777777" w:rsidR="0056005B" w:rsidRDefault="0056005B" w:rsidP="0056005B">
            <w:pPr>
              <w:jc w:val="right"/>
            </w:pPr>
          </w:p>
        </w:tc>
        <w:tc>
          <w:tcPr>
            <w:tcW w:w="487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4050FD2" w14:textId="77777777" w:rsidR="0056005B" w:rsidRDefault="0056005B" w:rsidP="0056005B">
            <w:pPr>
              <w:jc w:val="both"/>
              <w:cnfStyle w:val="000000000000" w:firstRow="0" w:lastRow="0" w:firstColumn="0" w:lastColumn="0" w:oddVBand="0" w:evenVBand="0" w:oddHBand="0" w:evenHBand="0" w:firstRowFirstColumn="0" w:firstRowLastColumn="0" w:lastRowFirstColumn="0" w:lastRowLastColumn="0"/>
            </w:pPr>
            <w:r>
              <w:t>Menetluse andmete kontrollimise etapis on</w:t>
            </w:r>
          </w:p>
        </w:tc>
        <w:tc>
          <w:tcPr>
            <w:tcW w:w="230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513C8C08" w14:textId="5222145A" w:rsidR="0056005B" w:rsidRDefault="00101EF6" w:rsidP="0056005B">
            <w:pPr>
              <w:jc w:val="center"/>
              <w:cnfStyle w:val="000000000000" w:firstRow="0" w:lastRow="0" w:firstColumn="0" w:lastColumn="0" w:oddVBand="0" w:evenVBand="0" w:oddHBand="0" w:evenHBand="0" w:firstRowFirstColumn="0" w:firstRowLastColumn="0" w:lastRowFirstColumn="0" w:lastRowLastColumn="0"/>
            </w:pPr>
            <w:r>
              <w:t>20*</w:t>
            </w:r>
          </w:p>
        </w:tc>
      </w:tr>
      <w:tr w:rsidR="0056005B" w14:paraId="7820769C" w14:textId="77777777" w:rsidTr="0056005B">
        <w:trPr>
          <w:trHeight w:val="382"/>
        </w:trPr>
        <w:tc>
          <w:tcPr>
            <w:cnfStyle w:val="001000000000" w:firstRow="0" w:lastRow="0" w:firstColumn="1" w:lastColumn="0" w:oddVBand="0" w:evenVBand="0" w:oddHBand="0" w:evenHBand="0" w:firstRowFirstColumn="0" w:firstRowLastColumn="0" w:lastRowFirstColumn="0" w:lastRowLastColumn="0"/>
            <w:tcW w:w="6714" w:type="dxa"/>
            <w:gridSpan w:val="2"/>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D9E2F3" w:themeFill="accent1" w:themeFillTint="33"/>
            <w:hideMark/>
          </w:tcPr>
          <w:p w14:paraId="771C8018" w14:textId="555CD64C" w:rsidR="0056005B" w:rsidRDefault="0056005B" w:rsidP="0056005B">
            <w:proofErr w:type="spellStart"/>
            <w:r>
              <w:t>EtMVS</w:t>
            </w:r>
            <w:proofErr w:type="spellEnd"/>
            <w:r>
              <w:t xml:space="preserve"> süsteemis registreeritud kõik hoiatuse teated kokku (s</w:t>
            </w:r>
            <w:r w:rsidR="00DC121E">
              <w:t>h</w:t>
            </w:r>
            <w:r>
              <w:t xml:space="preserve"> tundmatud toote teavitused)</w:t>
            </w:r>
          </w:p>
        </w:tc>
        <w:tc>
          <w:tcPr>
            <w:tcW w:w="2302"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D9E2F3" w:themeFill="accent1" w:themeFillTint="33"/>
            <w:hideMark/>
          </w:tcPr>
          <w:p w14:paraId="1B6B22BD" w14:textId="11C34540" w:rsidR="0056005B" w:rsidRDefault="001A27C3" w:rsidP="0056005B">
            <w:pPr>
              <w:jc w:val="center"/>
              <w:cnfStyle w:val="000000000000" w:firstRow="0" w:lastRow="0" w:firstColumn="0" w:lastColumn="0" w:oddVBand="0" w:evenVBand="0" w:oddHBand="0" w:evenHBand="0" w:firstRowFirstColumn="0" w:firstRowLastColumn="0" w:lastRowFirstColumn="0" w:lastRowLastColumn="0"/>
            </w:pPr>
            <w:r>
              <w:t>1</w:t>
            </w:r>
            <w:r w:rsidR="0074013C">
              <w:t>7</w:t>
            </w:r>
            <w:r w:rsidR="00541516">
              <w:t>3</w:t>
            </w:r>
            <w:r w:rsidR="0074013C">
              <w:t>4</w:t>
            </w:r>
          </w:p>
        </w:tc>
      </w:tr>
    </w:tbl>
    <w:p w14:paraId="10734998" w14:textId="77777777" w:rsidR="0056005B" w:rsidRDefault="0056005B" w:rsidP="0056005B"/>
    <w:p w14:paraId="31DAF6B4" w14:textId="6B7C3170" w:rsidR="0056005B" w:rsidRDefault="00101EF6" w:rsidP="00101EF6">
      <w:r>
        <w:t xml:space="preserve">*ühe lõppkasutaja poolt on üleval 19 teadet, mis esitati sama ravimi kohta ja mille kohta on päring saatetud </w:t>
      </w:r>
      <w:proofErr w:type="spellStart"/>
      <w:r>
        <w:t>MAH’le</w:t>
      </w:r>
      <w:proofErr w:type="spellEnd"/>
      <w:r>
        <w:t>.</w:t>
      </w:r>
    </w:p>
    <w:p w14:paraId="16817B98" w14:textId="77777777" w:rsidR="00101EF6" w:rsidRDefault="00101EF6" w:rsidP="00101EF6"/>
    <w:p w14:paraId="677164F7" w14:textId="7A7DF075" w:rsidR="00014D72" w:rsidRDefault="0056005B" w:rsidP="00F96CF3">
      <w:pPr>
        <w:pStyle w:val="Pealkiri2"/>
      </w:pPr>
      <w:r>
        <w:t xml:space="preserve">Võrdlus esitatud teavituste ja </w:t>
      </w:r>
      <w:proofErr w:type="spellStart"/>
      <w:r>
        <w:t>EtMVS</w:t>
      </w:r>
      <w:proofErr w:type="spellEnd"/>
      <w:r>
        <w:t xml:space="preserve"> teavituste vahel veakoodide põhiselt</w:t>
      </w:r>
    </w:p>
    <w:p w14:paraId="031B76AD" w14:textId="4FA46DC3" w:rsidR="00CB05BD" w:rsidRDefault="00CB05BD" w:rsidP="00014D72"/>
    <w:p w14:paraId="7327B1BE" w14:textId="5E6C1381" w:rsidR="0056005B" w:rsidRDefault="0074013C" w:rsidP="0056005B">
      <w:r>
        <w:t>17</w:t>
      </w:r>
      <w:r w:rsidR="00541516">
        <w:t>3</w:t>
      </w:r>
      <w:r>
        <w:t>4st 57</w:t>
      </w:r>
      <w:r w:rsidR="00541516">
        <w:t>1</w:t>
      </w:r>
      <w:r>
        <w:t xml:space="preserve"> juhul põhjustas hoiatuse teate haiglaapteek</w:t>
      </w:r>
      <w:r w:rsidR="00997242">
        <w:t>, 6</w:t>
      </w:r>
      <w:r w:rsidR="00541516">
        <w:t>56</w:t>
      </w:r>
      <w:r w:rsidR="00997242">
        <w:t xml:space="preserve"> juhul </w:t>
      </w:r>
      <w:proofErr w:type="spellStart"/>
      <w:r w:rsidR="00997242">
        <w:t>jaeapteek</w:t>
      </w:r>
      <w:proofErr w:type="spellEnd"/>
      <w:r>
        <w:t xml:space="preserve"> ning 85l juhul põhjustas teate esinemise hulgimüüja rolliga isikud.  </w:t>
      </w:r>
    </w:p>
    <w:p w14:paraId="79EF8AE3" w14:textId="75B0174E" w:rsidR="00997242" w:rsidRDefault="00997242" w:rsidP="0056005B"/>
    <w:p w14:paraId="7F7AFA73" w14:textId="5C380F19" w:rsidR="00997242" w:rsidRDefault="00997242" w:rsidP="0056005B">
      <w:r>
        <w:rPr>
          <w:noProof/>
        </w:rPr>
        <w:lastRenderedPageBreak/>
        <w:drawing>
          <wp:inline distT="0" distB="0" distL="0" distR="0" wp14:anchorId="6DA820D3" wp14:editId="094F82AD">
            <wp:extent cx="5486400" cy="32004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EE0818" w14:textId="77777777" w:rsidR="0056005B" w:rsidRDefault="0056005B" w:rsidP="0056005B"/>
    <w:tbl>
      <w:tblPr>
        <w:tblStyle w:val="Heleruuttabel1rhk1"/>
        <w:tblW w:w="0" w:type="auto"/>
        <w:tblInd w:w="0" w:type="dxa"/>
        <w:tblLook w:val="04A0" w:firstRow="1" w:lastRow="0" w:firstColumn="1" w:lastColumn="0" w:noHBand="0" w:noVBand="1"/>
      </w:tblPr>
      <w:tblGrid>
        <w:gridCol w:w="5098"/>
        <w:gridCol w:w="1985"/>
        <w:gridCol w:w="1933"/>
      </w:tblGrid>
      <w:tr w:rsidR="0056005B" w14:paraId="29A0BCC8" w14:textId="77777777" w:rsidTr="00014D72">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4C6E7" w:themeColor="accent1" w:themeTint="66"/>
              <w:left w:val="single" w:sz="4" w:space="0" w:color="B4C6E7" w:themeColor="accent1" w:themeTint="66"/>
              <w:right w:val="single" w:sz="4" w:space="0" w:color="B4C6E7" w:themeColor="accent1" w:themeTint="66"/>
            </w:tcBorders>
          </w:tcPr>
          <w:p w14:paraId="77B96DF6" w14:textId="77777777" w:rsidR="0056005B" w:rsidRDefault="0056005B"/>
        </w:tc>
        <w:tc>
          <w:tcPr>
            <w:tcW w:w="1985"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1FBC7021" w14:textId="77777777" w:rsidR="0056005B" w:rsidRDefault="0056005B">
            <w:pPr>
              <w:jc w:val="center"/>
              <w:cnfStyle w:val="100000000000" w:firstRow="1" w:lastRow="0" w:firstColumn="0" w:lastColumn="0" w:oddVBand="0" w:evenVBand="0" w:oddHBand="0" w:evenHBand="0" w:firstRowFirstColumn="0" w:firstRowLastColumn="0" w:lastRowFirstColumn="0" w:lastRowLastColumn="0"/>
            </w:pPr>
            <w:proofErr w:type="spellStart"/>
            <w:r>
              <w:t>EtMVS</w:t>
            </w:r>
            <w:proofErr w:type="spellEnd"/>
          </w:p>
        </w:tc>
        <w:tc>
          <w:tcPr>
            <w:tcW w:w="1933"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1B265BE9" w14:textId="3D57252C" w:rsidR="0056005B" w:rsidRDefault="0056005B">
            <w:pPr>
              <w:jc w:val="center"/>
              <w:cnfStyle w:val="100000000000" w:firstRow="1" w:lastRow="0" w:firstColumn="0" w:lastColumn="0" w:oddVBand="0" w:evenVBand="0" w:oddHBand="0" w:evenHBand="0" w:firstRowFirstColumn="0" w:firstRowLastColumn="0" w:lastRowFirstColumn="0" w:lastRowLastColumn="0"/>
            </w:pPr>
            <w:r>
              <w:t xml:space="preserve">Esitatud teavitusi </w:t>
            </w:r>
          </w:p>
        </w:tc>
      </w:tr>
      <w:tr w:rsidR="0056005B" w14:paraId="46D8F234" w14:textId="77777777" w:rsidTr="00014D72">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D9E2F3" w:themeFill="accent1" w:themeFillTint="33"/>
            <w:hideMark/>
          </w:tcPr>
          <w:p w14:paraId="167714E8" w14:textId="77777777" w:rsidR="0056005B" w:rsidRDefault="0056005B">
            <w:r>
              <w:t xml:space="preserve">HOIATUSE TEATED sh: </w:t>
            </w:r>
          </w:p>
        </w:tc>
        <w:tc>
          <w:tcPr>
            <w:tcW w:w="198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D9E2F3" w:themeFill="accent1" w:themeFillTint="33"/>
            <w:hideMark/>
          </w:tcPr>
          <w:p w14:paraId="7169D05C" w14:textId="10D6465E" w:rsidR="0056005B" w:rsidRDefault="008A6B38" w:rsidP="008A6B38">
            <w:pPr>
              <w:jc w:val="center"/>
              <w:cnfStyle w:val="000000000000" w:firstRow="0" w:lastRow="0" w:firstColumn="0" w:lastColumn="0" w:oddVBand="0" w:evenVBand="0" w:oddHBand="0" w:evenHBand="0" w:firstRowFirstColumn="0" w:firstRowLastColumn="0" w:lastRowFirstColumn="0" w:lastRowLastColumn="0"/>
              <w:rPr>
                <w:b/>
                <w:bCs/>
              </w:rPr>
            </w:pPr>
            <w:r>
              <w:rPr>
                <w:b/>
                <w:bCs/>
              </w:rPr>
              <w:t>1</w:t>
            </w:r>
            <w:r w:rsidR="0074013C">
              <w:rPr>
                <w:b/>
                <w:bCs/>
              </w:rPr>
              <w:t>7</w:t>
            </w:r>
            <w:r w:rsidR="00541516">
              <w:rPr>
                <w:b/>
                <w:bCs/>
              </w:rPr>
              <w:t>3</w:t>
            </w:r>
            <w:r w:rsidR="0074013C">
              <w:rPr>
                <w:b/>
                <w:bCs/>
              </w:rPr>
              <w:t>4</w:t>
            </w:r>
          </w:p>
        </w:tc>
        <w:tc>
          <w:tcPr>
            <w:tcW w:w="193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D9E2F3" w:themeFill="accent1" w:themeFillTint="33"/>
            <w:hideMark/>
          </w:tcPr>
          <w:p w14:paraId="036B4F96" w14:textId="65A1EC07" w:rsidR="0056005B" w:rsidRDefault="00101EF6" w:rsidP="008A6B38">
            <w:pPr>
              <w:jc w:val="center"/>
              <w:cnfStyle w:val="000000000000" w:firstRow="0" w:lastRow="0" w:firstColumn="0" w:lastColumn="0" w:oddVBand="0" w:evenVBand="0" w:oddHBand="0" w:evenHBand="0" w:firstRowFirstColumn="0" w:firstRowLastColumn="0" w:lastRowFirstColumn="0" w:lastRowLastColumn="0"/>
              <w:rPr>
                <w:b/>
                <w:bCs/>
              </w:rPr>
            </w:pPr>
            <w:r>
              <w:rPr>
                <w:b/>
                <w:bCs/>
              </w:rPr>
              <w:t>1</w:t>
            </w:r>
            <w:r w:rsidR="00541516">
              <w:rPr>
                <w:b/>
                <w:bCs/>
              </w:rPr>
              <w:t>90</w:t>
            </w:r>
          </w:p>
        </w:tc>
      </w:tr>
      <w:tr w:rsidR="0056005B" w14:paraId="0969400A" w14:textId="77777777" w:rsidTr="00014D72">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78246D03" w14:textId="2876FE82" w:rsidR="00B66585" w:rsidRPr="00B66585" w:rsidRDefault="00B66585" w:rsidP="00B66585">
            <w:pPr>
              <w:jc w:val="right"/>
            </w:pPr>
            <w:r w:rsidRPr="00B66585">
              <w:t>Andmetele vastavat partiid ei leitud</w:t>
            </w:r>
          </w:p>
          <w:p w14:paraId="0BD07E06" w14:textId="15E11D0E" w:rsidR="0056005B" w:rsidRPr="00B66585" w:rsidRDefault="0056005B" w:rsidP="00B66585">
            <w:pPr>
              <w:jc w:val="right"/>
            </w:pPr>
            <w:r w:rsidRPr="00B66585">
              <w:t>NMVS_FE_LOT_03</w:t>
            </w:r>
          </w:p>
        </w:tc>
        <w:tc>
          <w:tcPr>
            <w:tcW w:w="198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587F6A72" w14:textId="0DF44BDD" w:rsidR="0056005B" w:rsidRDefault="000C59B2" w:rsidP="008A6B38">
            <w:pPr>
              <w:jc w:val="center"/>
              <w:cnfStyle w:val="000000000000" w:firstRow="0" w:lastRow="0" w:firstColumn="0" w:lastColumn="0" w:oddVBand="0" w:evenVBand="0" w:oddHBand="0" w:evenHBand="0" w:firstRowFirstColumn="0" w:firstRowLastColumn="0" w:lastRowFirstColumn="0" w:lastRowLastColumn="0"/>
            </w:pPr>
            <w:r>
              <w:t>2</w:t>
            </w:r>
            <w:r w:rsidR="00997242">
              <w:t>28</w:t>
            </w:r>
          </w:p>
        </w:tc>
        <w:tc>
          <w:tcPr>
            <w:tcW w:w="193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B236F15" w14:textId="1B672ACA" w:rsidR="0056005B" w:rsidRDefault="00101EF6" w:rsidP="008A6B38">
            <w:pPr>
              <w:jc w:val="center"/>
              <w:cnfStyle w:val="000000000000" w:firstRow="0" w:lastRow="0" w:firstColumn="0" w:lastColumn="0" w:oddVBand="0" w:evenVBand="0" w:oddHBand="0" w:evenHBand="0" w:firstRowFirstColumn="0" w:firstRowLastColumn="0" w:lastRowFirstColumn="0" w:lastRowLastColumn="0"/>
            </w:pPr>
            <w:r>
              <w:t>7</w:t>
            </w:r>
          </w:p>
        </w:tc>
      </w:tr>
      <w:tr w:rsidR="0056005B" w14:paraId="1BEFF5E5" w14:textId="77777777" w:rsidTr="00014D72">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0040FECF" w14:textId="587BF276" w:rsidR="00B66585" w:rsidRPr="00B66585" w:rsidRDefault="00B66585" w:rsidP="00B66585">
            <w:pPr>
              <w:jc w:val="right"/>
            </w:pPr>
            <w:r w:rsidRPr="00B66585">
              <w:t xml:space="preserve">Kõlblikkuse kuupäev ei vasta </w:t>
            </w:r>
            <w:proofErr w:type="spellStart"/>
            <w:r w:rsidRPr="00B66585">
              <w:t>EtMVSis</w:t>
            </w:r>
            <w:proofErr w:type="spellEnd"/>
            <w:r w:rsidRPr="00B66585">
              <w:t xml:space="preserve"> olevatele andmetele</w:t>
            </w:r>
          </w:p>
          <w:p w14:paraId="25CA7715" w14:textId="060EC8FB" w:rsidR="0056005B" w:rsidRPr="00B66585" w:rsidRDefault="0056005B" w:rsidP="00B66585">
            <w:pPr>
              <w:jc w:val="right"/>
            </w:pPr>
            <w:r w:rsidRPr="00B66585">
              <w:t>NMVS_FE_LOT_12</w:t>
            </w:r>
          </w:p>
        </w:tc>
        <w:tc>
          <w:tcPr>
            <w:tcW w:w="198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634723FD" w14:textId="50E8C310" w:rsidR="0056005B" w:rsidRDefault="000C59B2" w:rsidP="008A6B38">
            <w:pPr>
              <w:jc w:val="center"/>
              <w:cnfStyle w:val="000000000000" w:firstRow="0" w:lastRow="0" w:firstColumn="0" w:lastColumn="0" w:oddVBand="0" w:evenVBand="0" w:oddHBand="0" w:evenHBand="0" w:firstRowFirstColumn="0" w:firstRowLastColumn="0" w:lastRowFirstColumn="0" w:lastRowLastColumn="0"/>
            </w:pPr>
            <w:r>
              <w:t>5</w:t>
            </w:r>
          </w:p>
        </w:tc>
        <w:tc>
          <w:tcPr>
            <w:tcW w:w="193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3B3C8610" w14:textId="5FE13922" w:rsidR="0056005B" w:rsidRDefault="00101EF6" w:rsidP="008A6B38">
            <w:pPr>
              <w:jc w:val="center"/>
              <w:cnfStyle w:val="000000000000" w:firstRow="0" w:lastRow="0" w:firstColumn="0" w:lastColumn="0" w:oddVBand="0" w:evenVBand="0" w:oddHBand="0" w:evenHBand="0" w:firstRowFirstColumn="0" w:firstRowLastColumn="0" w:lastRowFirstColumn="0" w:lastRowLastColumn="0"/>
            </w:pPr>
            <w:r>
              <w:t>1</w:t>
            </w:r>
          </w:p>
        </w:tc>
      </w:tr>
      <w:tr w:rsidR="0056005B" w14:paraId="01500FA2" w14:textId="77777777" w:rsidTr="00014D72">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5527A4CF" w14:textId="03755DDE" w:rsidR="00B66585" w:rsidRPr="00B66585" w:rsidRDefault="00B66585" w:rsidP="00B66585">
            <w:pPr>
              <w:jc w:val="right"/>
            </w:pPr>
            <w:r w:rsidRPr="00B66585">
              <w:t xml:space="preserve">Partii ID andmed ei vasta </w:t>
            </w:r>
            <w:proofErr w:type="spellStart"/>
            <w:r w:rsidRPr="00B66585">
              <w:t>EtMVSis</w:t>
            </w:r>
            <w:proofErr w:type="spellEnd"/>
            <w:r w:rsidRPr="00B66585">
              <w:t xml:space="preserve"> olevale seerianumbrile</w:t>
            </w:r>
          </w:p>
          <w:p w14:paraId="5FB9231D" w14:textId="3DE35459" w:rsidR="0056005B" w:rsidRPr="00B66585" w:rsidRDefault="0056005B" w:rsidP="00B66585">
            <w:pPr>
              <w:jc w:val="right"/>
            </w:pPr>
            <w:r w:rsidRPr="00B66585">
              <w:t>NMVS_FE_LOT_13</w:t>
            </w:r>
          </w:p>
        </w:tc>
        <w:tc>
          <w:tcPr>
            <w:tcW w:w="198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5C84EFF7" w14:textId="3BD47524" w:rsidR="0056005B" w:rsidRDefault="000C59B2" w:rsidP="008A6B38">
            <w:pPr>
              <w:jc w:val="center"/>
              <w:cnfStyle w:val="000000000000" w:firstRow="0" w:lastRow="0" w:firstColumn="0" w:lastColumn="0" w:oddVBand="0" w:evenVBand="0" w:oddHBand="0" w:evenHBand="0" w:firstRowFirstColumn="0" w:firstRowLastColumn="0" w:lastRowFirstColumn="0" w:lastRowLastColumn="0"/>
            </w:pPr>
            <w:r>
              <w:t>12</w:t>
            </w:r>
          </w:p>
        </w:tc>
        <w:tc>
          <w:tcPr>
            <w:tcW w:w="193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72F6CE2A" w14:textId="5E59BE91" w:rsidR="0056005B" w:rsidRDefault="00101EF6" w:rsidP="008A6B38">
            <w:pPr>
              <w:jc w:val="center"/>
              <w:cnfStyle w:val="000000000000" w:firstRow="0" w:lastRow="0" w:firstColumn="0" w:lastColumn="0" w:oddVBand="0" w:evenVBand="0" w:oddHBand="0" w:evenHBand="0" w:firstRowFirstColumn="0" w:firstRowLastColumn="0" w:lastRowFirstColumn="0" w:lastRowLastColumn="0"/>
            </w:pPr>
            <w:r>
              <w:t>2</w:t>
            </w:r>
          </w:p>
        </w:tc>
      </w:tr>
      <w:tr w:rsidR="0056005B" w14:paraId="4574DC80" w14:textId="77777777" w:rsidTr="00014D72">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51744AC5" w14:textId="75653CAF" w:rsidR="00B66585" w:rsidRPr="00B66585" w:rsidRDefault="00B66585" w:rsidP="00B66585">
            <w:pPr>
              <w:jc w:val="right"/>
            </w:pPr>
            <w:r w:rsidRPr="00B66585">
              <w:t>Tundmatud seerianumber</w:t>
            </w:r>
          </w:p>
          <w:p w14:paraId="77745C64" w14:textId="1A33D4B8" w:rsidR="0056005B" w:rsidRPr="00B66585" w:rsidRDefault="0056005B" w:rsidP="00B66585">
            <w:pPr>
              <w:jc w:val="right"/>
            </w:pPr>
            <w:r w:rsidRPr="00B66585">
              <w:t>NMVS_NC_PC_02</w:t>
            </w:r>
          </w:p>
        </w:tc>
        <w:tc>
          <w:tcPr>
            <w:tcW w:w="198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46095E6B" w14:textId="5DA8B2BA" w:rsidR="0056005B" w:rsidRDefault="000C59B2" w:rsidP="008A6B38">
            <w:pPr>
              <w:jc w:val="center"/>
              <w:cnfStyle w:val="000000000000" w:firstRow="0" w:lastRow="0" w:firstColumn="0" w:lastColumn="0" w:oddVBand="0" w:evenVBand="0" w:oddHBand="0" w:evenHBand="0" w:firstRowFirstColumn="0" w:firstRowLastColumn="0" w:lastRowFirstColumn="0" w:lastRowLastColumn="0"/>
            </w:pPr>
            <w:r>
              <w:t>78</w:t>
            </w:r>
          </w:p>
        </w:tc>
        <w:tc>
          <w:tcPr>
            <w:tcW w:w="193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7077F813" w14:textId="33080D3C" w:rsidR="0056005B" w:rsidRDefault="00101EF6" w:rsidP="008A6B38">
            <w:pPr>
              <w:jc w:val="center"/>
              <w:cnfStyle w:val="000000000000" w:firstRow="0" w:lastRow="0" w:firstColumn="0" w:lastColumn="0" w:oddVBand="0" w:evenVBand="0" w:oddHBand="0" w:evenHBand="0" w:firstRowFirstColumn="0" w:firstRowLastColumn="0" w:lastRowFirstColumn="0" w:lastRowLastColumn="0"/>
            </w:pPr>
            <w:r>
              <w:t>20</w:t>
            </w:r>
          </w:p>
        </w:tc>
      </w:tr>
      <w:tr w:rsidR="0056005B" w14:paraId="7BE7A843" w14:textId="77777777" w:rsidTr="00014D72">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6F5DAB04" w14:textId="7776AE2A" w:rsidR="00B66585" w:rsidRPr="00B66585" w:rsidRDefault="00B66585" w:rsidP="00B66585">
            <w:pPr>
              <w:jc w:val="right"/>
            </w:pPr>
            <w:r w:rsidRPr="00B66585">
              <w:t>Pakend on juba mitteaktiivne</w:t>
            </w:r>
          </w:p>
          <w:p w14:paraId="2F3BEE0C" w14:textId="7746BA15" w:rsidR="0056005B" w:rsidRPr="00B66585" w:rsidRDefault="0056005B" w:rsidP="00B66585">
            <w:pPr>
              <w:jc w:val="right"/>
            </w:pPr>
            <w:r w:rsidRPr="00B66585">
              <w:t>NMVS_NC_PCK_22</w:t>
            </w:r>
          </w:p>
        </w:tc>
        <w:tc>
          <w:tcPr>
            <w:tcW w:w="198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9280A24" w14:textId="0B454E90" w:rsidR="0056005B" w:rsidRDefault="000C59B2" w:rsidP="008A6B38">
            <w:pPr>
              <w:jc w:val="center"/>
              <w:cnfStyle w:val="000000000000" w:firstRow="0" w:lastRow="0" w:firstColumn="0" w:lastColumn="0" w:oddVBand="0" w:evenVBand="0" w:oddHBand="0" w:evenHBand="0" w:firstRowFirstColumn="0" w:firstRowLastColumn="0" w:lastRowFirstColumn="0" w:lastRowLastColumn="0"/>
            </w:pPr>
            <w:r>
              <w:t>14</w:t>
            </w:r>
            <w:r w:rsidR="00997242">
              <w:t>2</w:t>
            </w:r>
          </w:p>
        </w:tc>
        <w:tc>
          <w:tcPr>
            <w:tcW w:w="193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0019E15F" w14:textId="6470FFD4" w:rsidR="0056005B" w:rsidRDefault="00101EF6" w:rsidP="008A6B38">
            <w:pPr>
              <w:jc w:val="center"/>
              <w:cnfStyle w:val="000000000000" w:firstRow="0" w:lastRow="0" w:firstColumn="0" w:lastColumn="0" w:oddVBand="0" w:evenVBand="0" w:oddHBand="0" w:evenHBand="0" w:firstRowFirstColumn="0" w:firstRowLastColumn="0" w:lastRowFirstColumn="0" w:lastRowLastColumn="0"/>
            </w:pPr>
            <w:r>
              <w:t>14</w:t>
            </w:r>
          </w:p>
        </w:tc>
      </w:tr>
      <w:tr w:rsidR="0056005B" w14:paraId="07F31180" w14:textId="77777777" w:rsidTr="00014D72">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9A5661D" w14:textId="494B2E9E" w:rsidR="00B66585" w:rsidRPr="00B66585" w:rsidRDefault="00B66585" w:rsidP="00B66585">
            <w:pPr>
              <w:jc w:val="right"/>
            </w:pPr>
            <w:r w:rsidRPr="00B66585">
              <w:t>Staatuse muutmist ei saanud teha</w:t>
            </w:r>
          </w:p>
          <w:p w14:paraId="012F1FBC" w14:textId="67299A49" w:rsidR="0056005B" w:rsidRPr="00B66585" w:rsidRDefault="0056005B" w:rsidP="00B66585">
            <w:pPr>
              <w:jc w:val="right"/>
            </w:pPr>
            <w:r w:rsidRPr="00B66585">
              <w:t>NMVS_NC_PCK_27</w:t>
            </w:r>
          </w:p>
        </w:tc>
        <w:tc>
          <w:tcPr>
            <w:tcW w:w="198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07E1271F" w14:textId="0286CCFD" w:rsidR="0056005B" w:rsidRDefault="000C59B2" w:rsidP="008A6B38">
            <w:pPr>
              <w:jc w:val="center"/>
              <w:cnfStyle w:val="000000000000" w:firstRow="0" w:lastRow="0" w:firstColumn="0" w:lastColumn="0" w:oddVBand="0" w:evenVBand="0" w:oddHBand="0" w:evenHBand="0" w:firstRowFirstColumn="0" w:firstRowLastColumn="0" w:lastRowFirstColumn="0" w:lastRowLastColumn="0"/>
            </w:pPr>
            <w:r>
              <w:t>4</w:t>
            </w:r>
          </w:p>
        </w:tc>
        <w:tc>
          <w:tcPr>
            <w:tcW w:w="193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63A6901A" w14:textId="5E13442D" w:rsidR="0056005B" w:rsidRDefault="00101EF6" w:rsidP="00101EF6">
            <w:pPr>
              <w:jc w:val="center"/>
              <w:cnfStyle w:val="000000000000" w:firstRow="0" w:lastRow="0" w:firstColumn="0" w:lastColumn="0" w:oddVBand="0" w:evenVBand="0" w:oddHBand="0" w:evenHBand="0" w:firstRowFirstColumn="0" w:firstRowLastColumn="0" w:lastRowFirstColumn="0" w:lastRowLastColumn="0"/>
            </w:pPr>
            <w:r>
              <w:t>0</w:t>
            </w:r>
          </w:p>
        </w:tc>
      </w:tr>
      <w:tr w:rsidR="0056005B" w14:paraId="53B921C8" w14:textId="77777777" w:rsidTr="00014D72">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2F3016B" w14:textId="77777777" w:rsidR="0056005B" w:rsidRPr="00B66585" w:rsidRDefault="0056005B" w:rsidP="00B66585">
            <w:pPr>
              <w:jc w:val="right"/>
            </w:pPr>
            <w:r w:rsidRPr="00B66585">
              <w:t>Tundmatud tootekood NMVS_NC_PC_01</w:t>
            </w:r>
          </w:p>
        </w:tc>
        <w:tc>
          <w:tcPr>
            <w:tcW w:w="198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0F8A15E7" w14:textId="757AFF22" w:rsidR="0056005B" w:rsidRDefault="008A6B38" w:rsidP="008A6B38">
            <w:pPr>
              <w:jc w:val="center"/>
              <w:cnfStyle w:val="000000000000" w:firstRow="0" w:lastRow="0" w:firstColumn="0" w:lastColumn="0" w:oddVBand="0" w:evenVBand="0" w:oddHBand="0" w:evenHBand="0" w:firstRowFirstColumn="0" w:firstRowLastColumn="0" w:lastRowFirstColumn="0" w:lastRowLastColumn="0"/>
            </w:pPr>
            <w:r>
              <w:t>12</w:t>
            </w:r>
            <w:r w:rsidR="000C59B2">
              <w:t>21</w:t>
            </w:r>
          </w:p>
        </w:tc>
        <w:tc>
          <w:tcPr>
            <w:tcW w:w="193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3F7702F4" w14:textId="29BF532A" w:rsidR="0056005B" w:rsidRDefault="00101EF6" w:rsidP="00101EF6">
            <w:pPr>
              <w:jc w:val="center"/>
              <w:cnfStyle w:val="000000000000" w:firstRow="0" w:lastRow="0" w:firstColumn="0" w:lastColumn="0" w:oddVBand="0" w:evenVBand="0" w:oddHBand="0" w:evenHBand="0" w:firstRowFirstColumn="0" w:firstRowLastColumn="0" w:lastRowFirstColumn="0" w:lastRowLastColumn="0"/>
            </w:pPr>
            <w:r>
              <w:t>135</w:t>
            </w:r>
          </w:p>
        </w:tc>
      </w:tr>
      <w:tr w:rsidR="00CB05BD" w14:paraId="318200EE" w14:textId="77777777" w:rsidTr="00014D72">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EEF8AC6" w14:textId="4A3917A5" w:rsidR="00CB05BD" w:rsidRPr="00B66585" w:rsidRDefault="00CB05BD" w:rsidP="00B66585">
            <w:pPr>
              <w:jc w:val="right"/>
            </w:pPr>
            <w:r>
              <w:t>Teade kontrollimisel või esines mingi muu hoiatuse teate kood</w:t>
            </w:r>
          </w:p>
        </w:tc>
        <w:tc>
          <w:tcPr>
            <w:tcW w:w="198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6AB9245" w14:textId="77777777" w:rsidR="00CB05BD" w:rsidRDefault="00CB05BD" w:rsidP="008A6B38">
            <w:pPr>
              <w:jc w:val="center"/>
              <w:cnfStyle w:val="000000000000" w:firstRow="0" w:lastRow="0" w:firstColumn="0" w:lastColumn="0" w:oddVBand="0" w:evenVBand="0" w:oddHBand="0" w:evenHBand="0" w:firstRowFirstColumn="0" w:firstRowLastColumn="0" w:lastRowFirstColumn="0" w:lastRowLastColumn="0"/>
            </w:pPr>
          </w:p>
        </w:tc>
        <w:tc>
          <w:tcPr>
            <w:tcW w:w="193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F17075A" w14:textId="13D6AEC4" w:rsidR="00CB05BD" w:rsidRDefault="00541516" w:rsidP="008A6B38">
            <w:pPr>
              <w:jc w:val="center"/>
              <w:cnfStyle w:val="000000000000" w:firstRow="0" w:lastRow="0" w:firstColumn="0" w:lastColumn="0" w:oddVBand="0" w:evenVBand="0" w:oddHBand="0" w:evenHBand="0" w:firstRowFirstColumn="0" w:firstRowLastColumn="0" w:lastRowFirstColumn="0" w:lastRowLastColumn="0"/>
            </w:pPr>
            <w:r>
              <w:t>3</w:t>
            </w:r>
          </w:p>
        </w:tc>
      </w:tr>
      <w:tr w:rsidR="0056005B" w14:paraId="5EFF1C62" w14:textId="77777777" w:rsidTr="00B66585">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D9E2F3" w:themeFill="accent1" w:themeFillTint="33"/>
            <w:hideMark/>
          </w:tcPr>
          <w:p w14:paraId="0051D904" w14:textId="77777777" w:rsidR="0056005B" w:rsidRDefault="0056005B" w:rsidP="008A6B38">
            <w:pPr>
              <w:jc w:val="center"/>
            </w:pPr>
            <w:r>
              <w:t>SÜSTEEMI TEHNILISED TEATED</w:t>
            </w:r>
          </w:p>
        </w:tc>
      </w:tr>
      <w:tr w:rsidR="0056005B" w14:paraId="24306016" w14:textId="77777777" w:rsidTr="00014D72">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7BF0C2B3" w14:textId="77777777" w:rsidR="0056005B" w:rsidRDefault="0056005B">
            <w:pPr>
              <w:jc w:val="right"/>
            </w:pPr>
            <w:r>
              <w:t>Süsteem ei ole kättesaadav</w:t>
            </w:r>
          </w:p>
          <w:p w14:paraId="5E6A5937" w14:textId="77777777" w:rsidR="0056005B" w:rsidRDefault="0056005B">
            <w:pPr>
              <w:jc w:val="right"/>
            </w:pPr>
            <w:r>
              <w:t>NMVS_TE_REQ_01*</w:t>
            </w:r>
          </w:p>
        </w:tc>
        <w:tc>
          <w:tcPr>
            <w:tcW w:w="198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30ED8D7D" w14:textId="5CC4FC2A" w:rsidR="0056005B" w:rsidRDefault="000C59B2" w:rsidP="008A6B38">
            <w:pPr>
              <w:jc w:val="center"/>
              <w:cnfStyle w:val="000000000000" w:firstRow="0" w:lastRow="0" w:firstColumn="0" w:lastColumn="0" w:oddVBand="0" w:evenVBand="0" w:oddHBand="0" w:evenHBand="0" w:firstRowFirstColumn="0" w:firstRowLastColumn="0" w:lastRowFirstColumn="0" w:lastRowLastColumn="0"/>
            </w:pPr>
            <w:r>
              <w:t>44</w:t>
            </w:r>
          </w:p>
        </w:tc>
        <w:tc>
          <w:tcPr>
            <w:tcW w:w="193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459CD94" w14:textId="2BE643EE" w:rsidR="0056005B" w:rsidRDefault="00101EF6" w:rsidP="008A6B38">
            <w:pPr>
              <w:jc w:val="center"/>
              <w:cnfStyle w:val="000000000000" w:firstRow="0" w:lastRow="0" w:firstColumn="0" w:lastColumn="0" w:oddVBand="0" w:evenVBand="0" w:oddHBand="0" w:evenHBand="0" w:firstRowFirstColumn="0" w:firstRowLastColumn="0" w:lastRowFirstColumn="0" w:lastRowLastColumn="0"/>
            </w:pPr>
            <w:r>
              <w:t>8</w:t>
            </w:r>
          </w:p>
        </w:tc>
      </w:tr>
    </w:tbl>
    <w:p w14:paraId="6EE3041B" w14:textId="4CD82DAE" w:rsidR="0056005B" w:rsidRDefault="0056005B"/>
    <w:p w14:paraId="1C5D4A2C" w14:textId="0A9ABAF5" w:rsidR="008A6B38" w:rsidRDefault="008A6B38"/>
    <w:sectPr w:rsidR="008A6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324"/>
    <w:multiLevelType w:val="hybridMultilevel"/>
    <w:tmpl w:val="D360BD8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165C7B06"/>
    <w:multiLevelType w:val="hybridMultilevel"/>
    <w:tmpl w:val="50BCB4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3E97722"/>
    <w:multiLevelType w:val="hybridMultilevel"/>
    <w:tmpl w:val="96C44C3A"/>
    <w:lvl w:ilvl="0" w:tplc="55C498B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5B"/>
    <w:rsid w:val="00014D72"/>
    <w:rsid w:val="00044CD9"/>
    <w:rsid w:val="000C59B2"/>
    <w:rsid w:val="00101EF6"/>
    <w:rsid w:val="001A27C3"/>
    <w:rsid w:val="002E7F23"/>
    <w:rsid w:val="00414CD4"/>
    <w:rsid w:val="00427800"/>
    <w:rsid w:val="00541516"/>
    <w:rsid w:val="0056005B"/>
    <w:rsid w:val="0060197A"/>
    <w:rsid w:val="00672E1C"/>
    <w:rsid w:val="0072177E"/>
    <w:rsid w:val="0074013C"/>
    <w:rsid w:val="008140D3"/>
    <w:rsid w:val="008250A0"/>
    <w:rsid w:val="008969F1"/>
    <w:rsid w:val="008A6B38"/>
    <w:rsid w:val="008F774A"/>
    <w:rsid w:val="00997242"/>
    <w:rsid w:val="009D6E31"/>
    <w:rsid w:val="00B66585"/>
    <w:rsid w:val="00CB05BD"/>
    <w:rsid w:val="00CD7E57"/>
    <w:rsid w:val="00DB5EC0"/>
    <w:rsid w:val="00DB7926"/>
    <w:rsid w:val="00DC121E"/>
    <w:rsid w:val="00EE1C10"/>
    <w:rsid w:val="00F96CF3"/>
    <w:rsid w:val="00FE30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682C6"/>
  <w15:chartTrackingRefBased/>
  <w15:docId w15:val="{03F66D14-4757-4231-800A-7EE65788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6005B"/>
    <w:pPr>
      <w:spacing w:after="0" w:line="240" w:lineRule="auto"/>
    </w:pPr>
  </w:style>
  <w:style w:type="paragraph" w:styleId="Pealkiri2">
    <w:name w:val="heading 2"/>
    <w:basedOn w:val="Normaallaad"/>
    <w:next w:val="Normaallaad"/>
    <w:link w:val="Pealkiri2Mrk"/>
    <w:uiPriority w:val="9"/>
    <w:unhideWhenUsed/>
    <w:qFormat/>
    <w:rsid w:val="0056005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6005B"/>
    <w:pPr>
      <w:ind w:left="720"/>
    </w:pPr>
  </w:style>
  <w:style w:type="table" w:styleId="Heleruuttabel1rhk1">
    <w:name w:val="Grid Table 1 Light Accent 1"/>
    <w:basedOn w:val="Normaaltabel"/>
    <w:uiPriority w:val="46"/>
    <w:rsid w:val="0056005B"/>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Pealkiri2Mrk">
    <w:name w:val="Pealkiri 2 Märk"/>
    <w:basedOn w:val="Liguvaikefont"/>
    <w:link w:val="Pealkiri2"/>
    <w:uiPriority w:val="9"/>
    <w:rsid w:val="0056005B"/>
    <w:rPr>
      <w:rFonts w:asciiTheme="majorHAnsi" w:eastAsiaTheme="majorEastAsia" w:hAnsiTheme="majorHAnsi" w:cstheme="majorBidi"/>
      <w:color w:val="2F5496" w:themeColor="accent1" w:themeShade="BF"/>
      <w:sz w:val="26"/>
      <w:szCs w:val="26"/>
    </w:rPr>
  </w:style>
  <w:style w:type="character" w:styleId="Hperlink">
    <w:name w:val="Hyperlink"/>
    <w:basedOn w:val="Liguvaikefont"/>
    <w:uiPriority w:val="99"/>
    <w:unhideWhenUsed/>
    <w:rsid w:val="0072177E"/>
    <w:rPr>
      <w:color w:val="0563C1" w:themeColor="hyperlink"/>
      <w:u w:val="single"/>
    </w:rPr>
  </w:style>
  <w:style w:type="character" w:styleId="Lahendamatamainimine">
    <w:name w:val="Unresolved Mention"/>
    <w:basedOn w:val="Liguvaikefont"/>
    <w:uiPriority w:val="99"/>
    <w:semiHidden/>
    <w:unhideWhenUsed/>
    <w:rsid w:val="00721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t-E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Leht1!$B$1</c:f>
              <c:strCache>
                <c:ptCount val="1"/>
                <c:pt idx="0">
                  <c:v>Hoiatuse teadete esinemine kasutajate põhiselt</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19A-4650-90FE-5F53B92B33F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219A-4650-90FE-5F53B92B33F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19A-4650-90FE-5F53B92B33F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t-EE"/>
                </a:p>
              </c:txPr>
              <c:dLblPos val="outEnd"/>
              <c:showLegendKey val="0"/>
              <c:showVal val="0"/>
              <c:showCatName val="1"/>
              <c:showSerName val="0"/>
              <c:showPercent val="1"/>
              <c:showBubbleSize val="0"/>
              <c:extLst>
                <c:ext xmlns:c16="http://schemas.microsoft.com/office/drawing/2014/chart" uri="{C3380CC4-5D6E-409C-BE32-E72D297353CC}">
                  <c16:uniqueId val="{00000001-219A-4650-90FE-5F53B92B33F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t-EE"/>
                </a:p>
              </c:txPr>
              <c:dLblPos val="outEnd"/>
              <c:showLegendKey val="0"/>
              <c:showVal val="0"/>
              <c:showCatName val="1"/>
              <c:showSerName val="0"/>
              <c:showPercent val="1"/>
              <c:showBubbleSize val="0"/>
              <c:extLst>
                <c:ext xmlns:c16="http://schemas.microsoft.com/office/drawing/2014/chart" uri="{C3380CC4-5D6E-409C-BE32-E72D297353CC}">
                  <c16:uniqueId val="{00000002-219A-4650-90FE-5F53B92B33F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t-EE"/>
                </a:p>
              </c:txPr>
              <c:dLblPos val="outEnd"/>
              <c:showLegendKey val="0"/>
              <c:showVal val="0"/>
              <c:showCatName val="1"/>
              <c:showSerName val="0"/>
              <c:showPercent val="1"/>
              <c:showBubbleSize val="0"/>
              <c:extLst>
                <c:ext xmlns:c16="http://schemas.microsoft.com/office/drawing/2014/chart" uri="{C3380CC4-5D6E-409C-BE32-E72D297353CC}">
                  <c16:uniqueId val="{00000003-219A-4650-90FE-5F53B92B33F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Leht1!$A$2:$A$4</c:f>
              <c:strCache>
                <c:ptCount val="3"/>
                <c:pt idx="0">
                  <c:v>Jaeapteek</c:v>
                </c:pt>
                <c:pt idx="1">
                  <c:v>Haiglaapteek</c:v>
                </c:pt>
                <c:pt idx="2">
                  <c:v>Hulgimüüja</c:v>
                </c:pt>
              </c:strCache>
            </c:strRef>
          </c:cat>
          <c:val>
            <c:numRef>
              <c:f>Leht1!$B$2:$B$4</c:f>
              <c:numCache>
                <c:formatCode>General</c:formatCode>
                <c:ptCount val="3"/>
                <c:pt idx="0">
                  <c:v>661</c:v>
                </c:pt>
                <c:pt idx="1">
                  <c:v>576</c:v>
                </c:pt>
                <c:pt idx="2">
                  <c:v>85</c:v>
                </c:pt>
              </c:numCache>
            </c:numRef>
          </c:val>
          <c:extLst>
            <c:ext xmlns:c16="http://schemas.microsoft.com/office/drawing/2014/chart" uri="{C3380CC4-5D6E-409C-BE32-E72D297353CC}">
              <c16:uniqueId val="{00000000-219A-4650-90FE-5F53B92B33F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3697A8FC956047A34A789DF6E0B81A" ma:contentTypeVersion="2" ma:contentTypeDescription="Loo uus dokument" ma:contentTypeScope="" ma:versionID="123c04d210297f52d0eeaaf9ebf12557">
  <xsd:schema xmlns:xsd="http://www.w3.org/2001/XMLSchema" xmlns:xs="http://www.w3.org/2001/XMLSchema" xmlns:p="http://schemas.microsoft.com/office/2006/metadata/properties" xmlns:ns3="e44986be-a996-410c-803b-9c32d13109d5" targetNamespace="http://schemas.microsoft.com/office/2006/metadata/properties" ma:root="true" ma:fieldsID="653a1ba0d18a4d98cb6d3b2edbe75005" ns3:_="">
    <xsd:import namespace="e44986be-a996-410c-803b-9c32d13109d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986be-a996-410c-803b-9c32d1310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7C346-BADA-46B2-8423-F2E939AD6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986be-a996-410c-803b-9c32d1310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4A10D-5CB0-4938-A6B4-3F3FF263B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ECBDC-7615-4A99-BE8C-BAA945F27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2611</Characters>
  <Application>Microsoft Office Word</Application>
  <DocSecurity>0</DocSecurity>
  <Lines>21</Lines>
  <Paragraphs>6</Paragraphs>
  <ScaleCrop>false</ScaleCrop>
  <HeadingPairs>
    <vt:vector size="4" baseType="variant">
      <vt:variant>
        <vt:lpstr>Pealkiri</vt:lpstr>
      </vt:variant>
      <vt:variant>
        <vt:i4>1</vt:i4>
      </vt:variant>
      <vt:variant>
        <vt:lpstr>Pealkirjad</vt:lpstr>
      </vt:variant>
      <vt:variant>
        <vt:i4>1</vt:i4>
      </vt:variant>
    </vt:vector>
  </HeadingPairs>
  <TitlesOfParts>
    <vt:vector size="2" baseType="lpstr">
      <vt:lpstr/>
      <vt:lpstr>    Võrdlus esitatud teavituste ja EtMVS teavituste vahel veakoodide põhiselt</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Asser</dc:creator>
  <cp:keywords/>
  <dc:description/>
  <cp:lastModifiedBy>Mari Asser</cp:lastModifiedBy>
  <cp:revision>2</cp:revision>
  <dcterms:created xsi:type="dcterms:W3CDTF">2020-07-13T10:10:00Z</dcterms:created>
  <dcterms:modified xsi:type="dcterms:W3CDTF">2020-07-13T10:10:00Z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0x010100753697A8FC956047A34A789DF6E0B81A</vt:lpwstr>
  </property>
</Properties>
</file>