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KONFIDENTSIAALSUSKOKKULEPE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</w:pPr>
      <w:r>
        <w:rPr>
          <w:b w:val="1"/>
          <w:bCs w:val="1"/>
          <w:rtl w:val="0"/>
        </w:rPr>
        <w:t>[</w:t>
      </w: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</w:rPr>
        <w:t>.]</w:t>
      </w:r>
      <w:r>
        <w:rPr>
          <w:rtl w:val="0"/>
          <w:lang w:val="nl-NL"/>
        </w:rPr>
        <w:t>, registrikood [</w:t>
      </w:r>
      <w:r>
        <w:rPr>
          <w:rtl w:val="0"/>
        </w:rPr>
        <w:t>…</w:t>
      </w:r>
      <w:r>
        <w:rPr>
          <w:rtl w:val="0"/>
          <w:lang w:val="nl-NL"/>
        </w:rPr>
        <w:t>.], aadress; [</w:t>
      </w:r>
      <w:r>
        <w:rPr>
          <w:rtl w:val="0"/>
        </w:rPr>
        <w:t>…</w:t>
      </w:r>
      <w:r>
        <w:rPr>
          <w:rtl w:val="0"/>
        </w:rPr>
        <w:t>.], mida esindab juhatuse liige [</w:t>
      </w:r>
      <w:r>
        <w:rPr>
          <w:rtl w:val="0"/>
        </w:rPr>
        <w:t>…</w:t>
      </w:r>
      <w:r>
        <w:rPr>
          <w:rtl w:val="0"/>
          <w:lang w:val="es-ES_tradnl"/>
        </w:rPr>
        <w:t xml:space="preserve">] (edaspidi: </w:t>
      </w:r>
      <w:r>
        <w:rPr>
          <w:rtl w:val="0"/>
        </w:rPr>
        <w:t>„</w:t>
      </w:r>
      <w:r>
        <w:rPr>
          <w:b w:val="1"/>
          <w:bCs w:val="1"/>
          <w:rtl w:val="0"/>
        </w:rPr>
        <w:t>Teenuse pakkuja</w:t>
      </w:r>
      <w:r>
        <w:rPr>
          <w:rtl w:val="0"/>
        </w:rPr>
        <w:t>“</w:t>
      </w:r>
      <w:r>
        <w:rPr>
          <w:rtl w:val="0"/>
        </w:rPr>
        <w:t>);</w:t>
      </w:r>
    </w:p>
    <w:p>
      <w:pPr>
        <w:pStyle w:val="Body A"/>
        <w:jc w:val="left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ARVESSE V</w:t>
      </w:r>
      <w:r>
        <w:rPr>
          <w:rFonts w:cs="Arial Unicode MS" w:eastAsia="Arial Unicode MS" w:hint="default"/>
          <w:rtl w:val="0"/>
        </w:rPr>
        <w:t>Õ</w:t>
      </w:r>
      <w:r>
        <w:rPr>
          <w:rFonts w:cs="Arial Unicode MS" w:eastAsia="Arial Unicode MS"/>
          <w:rtl w:val="0"/>
        </w:rPr>
        <w:t>TTES ASJAOLU, ET Ravimite Ehtsuse Kontrolli Sihtasutus, registrikood 90013561, aadress Tartu maantee 84a, Tallinn, 1</w:t>
      </w:r>
      <w:r>
        <w:rPr>
          <w:rFonts w:cs="Arial Unicode MS" w:eastAsia="Arial Unicode MS"/>
          <w:rtl w:val="0"/>
        </w:rPr>
        <w:t>0</w:t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/>
          <w:rtl w:val="0"/>
        </w:rPr>
        <w:t xml:space="preserve">12 </w:t>
      </w:r>
      <w:r>
        <w:rPr>
          <w:rFonts w:cs="Arial Unicode MS" w:eastAsia="Arial Unicode MS"/>
          <w:rtl w:val="0"/>
          <w:lang w:val="it-IT"/>
        </w:rPr>
        <w:t xml:space="preserve">(edaspidi: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b w:val="1"/>
          <w:bCs w:val="1"/>
          <w:rtl w:val="0"/>
        </w:rPr>
        <w:t>REKS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) on mittetulunduslik organisatsioon, mis haldab Eesti riiklikku ravimite ehtsuse kontrolls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steemi andmebaasi, mis on omakorda liidestatud Euroopa Ravimite Kontrolli Organisatsiooni poolt hallatava keskse Euroopa Liidu kontrolls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nl-NL"/>
        </w:rPr>
        <w:t>steemiga;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ARVESSE V</w:t>
      </w:r>
      <w:r>
        <w:rPr>
          <w:rFonts w:cs="Arial Unicode MS" w:eastAsia="Arial Unicode MS" w:hint="default"/>
          <w:rtl w:val="0"/>
        </w:rPr>
        <w:t>Õ</w:t>
      </w:r>
      <w:r>
        <w:rPr>
          <w:rFonts w:cs="Arial Unicode MS" w:eastAsia="Arial Unicode MS"/>
          <w:rtl w:val="0"/>
        </w:rPr>
        <w:t xml:space="preserve">TTES ASJAOLU, ET </w:t>
      </w:r>
      <w:r>
        <w:rPr>
          <w:rFonts w:cs="Arial Unicode MS" w:eastAsia="Arial Unicode MS"/>
          <w:rtl w:val="0"/>
        </w:rPr>
        <w:t>Hulgim</w:t>
      </w:r>
      <w:r>
        <w:rPr>
          <w:rFonts w:cs="Arial Unicode MS" w:eastAsia="Arial Unicode MS" w:hint="default"/>
          <w:rtl w:val="0"/>
        </w:rPr>
        <w:t>üü</w:t>
      </w:r>
      <w:r>
        <w:rPr>
          <w:rFonts w:cs="Arial Unicode MS" w:eastAsia="Arial Unicode MS"/>
          <w:rtl w:val="0"/>
        </w:rPr>
        <w:t>jal</w:t>
      </w:r>
      <w:r>
        <w:rPr>
          <w:rFonts w:cs="Arial Unicode MS" w:eastAsia="Arial Unicode MS"/>
          <w:rtl w:val="0"/>
        </w:rPr>
        <w:t xml:space="preserve"> on kohustus luua REKS-i poolt hallatava andmebaasiga elektrooniline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 xml:space="preserve">hendus ja teostada sellega liidestumine, milleks </w:t>
      </w:r>
      <w:r>
        <w:rPr>
          <w:rFonts w:cs="Arial Unicode MS" w:eastAsia="Arial Unicode MS"/>
          <w:rtl w:val="0"/>
        </w:rPr>
        <w:t>Hulgim</w:t>
      </w:r>
      <w:r>
        <w:rPr>
          <w:rFonts w:cs="Arial Unicode MS" w:eastAsia="Arial Unicode MS" w:hint="default"/>
          <w:rtl w:val="0"/>
        </w:rPr>
        <w:t>üü</w:t>
      </w:r>
      <w:r>
        <w:rPr>
          <w:rFonts w:cs="Arial Unicode MS" w:eastAsia="Arial Unicode MS"/>
          <w:rtl w:val="0"/>
        </w:rPr>
        <w:t>jal</w:t>
      </w:r>
      <w:r>
        <w:rPr>
          <w:rFonts w:cs="Arial Unicode MS" w:eastAsia="Arial Unicode MS"/>
          <w:rtl w:val="0"/>
        </w:rPr>
        <w:t xml:space="preserve"> v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>ib olla vajalik kasutada Teenuste pakkuja teenuseid;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ARVESSE V</w:t>
      </w:r>
      <w:r>
        <w:rPr>
          <w:rFonts w:cs="Arial Unicode MS" w:eastAsia="Arial Unicode MS" w:hint="default"/>
          <w:rtl w:val="0"/>
        </w:rPr>
        <w:t>Õ</w:t>
      </w:r>
      <w:r>
        <w:rPr>
          <w:rFonts w:cs="Arial Unicode MS" w:eastAsia="Arial Unicode MS"/>
          <w:rtl w:val="0"/>
        </w:rPr>
        <w:t xml:space="preserve">TTES ASJAOLU, ET REKS on valmis tegema </w:t>
      </w:r>
      <w:r>
        <w:rPr>
          <w:rFonts w:cs="Arial Unicode MS" w:eastAsia="Arial Unicode MS"/>
          <w:rtl w:val="0"/>
        </w:rPr>
        <w:t>Hulgim</w:t>
      </w:r>
      <w:r>
        <w:rPr>
          <w:rFonts w:cs="Arial Unicode MS" w:eastAsia="Arial Unicode MS" w:hint="default"/>
          <w:rtl w:val="0"/>
        </w:rPr>
        <w:t>üü</w:t>
      </w:r>
      <w:r>
        <w:rPr>
          <w:rFonts w:cs="Arial Unicode MS" w:eastAsia="Arial Unicode MS"/>
          <w:rtl w:val="0"/>
        </w:rPr>
        <w:t xml:space="preserve">ja </w:t>
      </w:r>
      <w:r>
        <w:rPr>
          <w:rFonts w:cs="Arial Unicode MS" w:eastAsia="Arial Unicode MS"/>
          <w:rtl w:val="0"/>
        </w:rPr>
        <w:t>Teenuse pakkujaga koost</w:t>
      </w:r>
      <w:r>
        <w:rPr>
          <w:rFonts w:cs="Arial Unicode MS" w:eastAsia="Arial Unicode MS" w:hint="default"/>
          <w:rtl w:val="0"/>
        </w:rPr>
        <w:t>öö</w:t>
      </w:r>
      <w:r>
        <w:rPr>
          <w:rFonts w:cs="Arial Unicode MS" w:eastAsia="Arial Unicode MS"/>
          <w:rtl w:val="0"/>
        </w:rPr>
        <w:t xml:space="preserve">d, et tagada </w:t>
      </w:r>
      <w:r>
        <w:rPr>
          <w:rFonts w:cs="Arial Unicode MS" w:eastAsia="Arial Unicode MS"/>
          <w:rtl w:val="0"/>
        </w:rPr>
        <w:t>Hulgim</w:t>
      </w:r>
      <w:r>
        <w:rPr>
          <w:rFonts w:cs="Arial Unicode MS" w:eastAsia="Arial Unicode MS" w:hint="default"/>
          <w:rtl w:val="0"/>
        </w:rPr>
        <w:t>üü</w:t>
      </w:r>
      <w:r>
        <w:rPr>
          <w:rFonts w:cs="Arial Unicode MS" w:eastAsia="Arial Unicode MS"/>
          <w:rtl w:val="0"/>
        </w:rPr>
        <w:t>jale</w:t>
      </w:r>
      <w:r>
        <w:rPr>
          <w:rFonts w:cs="Arial Unicode MS" w:eastAsia="Arial Unicode MS"/>
          <w:rtl w:val="0"/>
        </w:rPr>
        <w:t xml:space="preserve"> ja Teenuse pakkujale vajalik tarkvaraarenduspakett ja vajalik tugi kasutajaliidese arendamisel ning REKS andmebaasiga liidestumisel, milleks REKS avaldab Teenuse pakkujatele teatud konfidentsiaalset infot, mis on seotud REKS-i andmebaasi ja sellega liidestumist puudutavate tehniliste andmetega, (a) mille avalikustamine kolmandatele isikutele v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 xml:space="preserve">ib oluliselt kahjustada REKS-i 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  <w:lang w:val="es-ES_tradnl"/>
        </w:rPr>
        <w:t xml:space="preserve">igustatud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rihuve, (b) mis ei ole avalikult k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ttesaadav v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>i lihtsasti omandatava muudest v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listest allikatest, (c) mis ei kuulu avalikustamisele koosk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 xml:space="preserve">las kohalduvate seadustega, (d) mida avaldatakse kolmandatele isikutele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ksnes konfidentsiaalsena, v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>i (e) mille osas v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>ib m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  <w:lang w:val="nl-NL"/>
        </w:rPr>
        <w:t>istlikult eeldada, et REKS peab konfidentsiaalseks  (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b w:val="1"/>
          <w:bCs w:val="1"/>
          <w:rtl w:val="0"/>
          <w:lang w:val="en-US"/>
        </w:rPr>
        <w:t>Kaitstud Teave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);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>tab Teenuse pakkuja seoses Kaitstud Teabega REKS-i ees allj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rgnevad kohustused:</w:t>
      </w:r>
    </w:p>
    <w:p>
      <w:pPr>
        <w:pStyle w:val="Body A"/>
      </w:pPr>
    </w:p>
    <w:p>
      <w:pPr>
        <w:pStyle w:val="Body A"/>
      </w:pPr>
    </w:p>
    <w:tbl>
      <w:tblPr>
        <w:tblW w:w="90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72"/>
      </w:tblGrid>
      <w:tr>
        <w:tblPrEx>
          <w:shd w:val="clear" w:color="auto" w:fill="ced7e7"/>
        </w:tblPrEx>
        <w:trPr>
          <w:trHeight w:val="1169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8"/>
            </w:tcMar>
            <w:vAlign w:val="top"/>
          </w:tcPr>
          <w:p>
            <w:pPr>
              <w:pStyle w:val="Body Text"/>
              <w:widowControl w:val="0"/>
              <w:numPr>
                <w:ilvl w:val="0"/>
                <w:numId w:val="1"/>
              </w:numPr>
              <w:ind w:right="118"/>
              <w:rPr>
                <w:lang w:val="en-US"/>
              </w:rPr>
            </w:pPr>
            <w:r>
              <w:rPr>
                <w:rtl w:val="0"/>
                <w:lang w:val="en-US"/>
              </w:rPr>
              <w:t>Teenuse pakkuja kohustub hoidma mistahes Kaitstavat Teavet saladuses ning seda mitte k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sutama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en-US"/>
              </w:rPr>
              <w:t>i kasutama muul viisil, kui see on vajalik liidestumiseks REKS andmebaasiga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en-US"/>
              </w:rPr>
              <w:t>i sellega seotud liidestamisj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rgseteks tugiteenusteks, ega avalikustama Kaitstavat Teavet kolmandatele isikutele.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8"/>
            </w:tcMar>
            <w:vAlign w:val="top"/>
          </w:tcPr>
          <w:p>
            <w:pPr>
              <w:pStyle w:val="Body Text"/>
              <w:widowControl w:val="0"/>
              <w:numPr>
                <w:ilvl w:val="0"/>
                <w:numId w:val="3"/>
              </w:numPr>
              <w:ind w:right="118"/>
              <w:rPr>
                <w:lang w:val="en-US"/>
              </w:rPr>
            </w:pPr>
            <w:r>
              <w:rPr>
                <w:rtl w:val="0"/>
                <w:lang w:val="en-US"/>
              </w:rPr>
              <w:t>Teenuse pakkuja kohustub mitte p</w:t>
            </w:r>
            <w:r>
              <w:rPr>
                <w:rtl w:val="0"/>
                <w:lang w:val="en-US"/>
              </w:rPr>
              <w:t>öö</w:t>
            </w:r>
            <w:r>
              <w:rPr>
                <w:rtl w:val="0"/>
                <w:lang w:val="en-US"/>
              </w:rPr>
              <w:t>rdprojekteerima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en-US"/>
              </w:rPr>
              <w:t>i tuletama Kaitstud Teabe koosseisu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en-US"/>
              </w:rPr>
              <w:t>i selle aluseks olevat informatsiooni, struktuuri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it-IT"/>
              </w:rPr>
              <w:t xml:space="preserve">i ideesid.  </w:t>
            </w:r>
          </w:p>
        </w:tc>
      </w:tr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line="240" w:lineRule="auto"/>
            </w:pPr>
            <w:r>
              <w:rPr>
                <w:rtl w:val="0"/>
              </w:rPr>
              <w:t>Teenuse pakkuja kohustub teavitama REKS-i igast Kaitstud Teabe volitamata v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ljastamisest, avalikustamisest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 xml:space="preserve">i kasutamisest. </w:t>
            </w:r>
          </w:p>
        </w:tc>
      </w:tr>
      <w:tr>
        <w:tblPrEx>
          <w:shd w:val="clear" w:color="auto" w:fill="ced7e7"/>
        </w:tblPrEx>
        <w:trPr>
          <w:trHeight w:val="199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line="240" w:lineRule="auto"/>
            </w:pPr>
            <w:r>
              <w:rPr>
                <w:rtl w:val="0"/>
              </w:rPr>
              <w:t>Teenuse pakkuja kohustub tagama, et tema heaks t</w:t>
            </w:r>
            <w:r>
              <w:rPr>
                <w:rtl w:val="0"/>
              </w:rPr>
              <w:t>öö</w:t>
            </w:r>
            <w:r>
              <w:rPr>
                <w:rtl w:val="0"/>
              </w:rPr>
              <w:t>lepingu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i muu teenuse osutamise lepingu alusel t</w:t>
            </w:r>
            <w:r>
              <w:rPr>
                <w:rtl w:val="0"/>
              </w:rPr>
              <w:t>öö</w:t>
            </w:r>
            <w:r>
              <w:rPr>
                <w:rtl w:val="0"/>
                <w:lang w:val="nl-NL"/>
              </w:rPr>
              <w:t>d tegevad isikud j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rgiksid k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esolevas kokkuleppes toodud kohustusi. Teenuse pakkuja on kohustatud viivitamatult REKS-i teavitama juhul, kui ta soovib kasutada allt</w:t>
            </w:r>
            <w:r>
              <w:rPr>
                <w:rtl w:val="0"/>
              </w:rPr>
              <w:t>öö</w:t>
            </w:r>
            <w:r>
              <w:rPr>
                <w:rtl w:val="0"/>
              </w:rPr>
              <w:t>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tjaid. Allt</w:t>
            </w:r>
            <w:r>
              <w:rPr>
                <w:rtl w:val="0"/>
              </w:rPr>
              <w:t>öö</w:t>
            </w:r>
            <w:r>
              <w:rPr>
                <w:rtl w:val="0"/>
              </w:rPr>
              <w:t>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 xml:space="preserve">tjate kasutamine on lubatud </w:t>
            </w:r>
            <w:r>
              <w:rPr>
                <w:rtl w:val="0"/>
              </w:rPr>
              <w:t>ü</w:t>
            </w:r>
            <w:r>
              <w:rPr>
                <w:rtl w:val="0"/>
                <w:lang w:val="nl-NL"/>
              </w:rPr>
              <w:t>ksnes REKS-i eelneval n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usolekul ja tingimusel, et allt</w:t>
            </w:r>
            <w:r>
              <w:rPr>
                <w:rtl w:val="0"/>
              </w:rPr>
              <w:t>öö</w:t>
            </w:r>
            <w:r>
              <w:rPr>
                <w:rtl w:val="0"/>
              </w:rPr>
              <w:t>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tja s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lmib k</w:t>
            </w:r>
            <w:r>
              <w:rPr>
                <w:rtl w:val="0"/>
              </w:rPr>
              <w:t>ä</w:t>
            </w:r>
            <w:r>
              <w:rPr>
                <w:rtl w:val="0"/>
                <w:lang w:val="nl-NL"/>
              </w:rPr>
              <w:t>esoleva kokkuleppega analoogse kokkuleppe.</w:t>
            </w:r>
          </w:p>
          <w:p>
            <w:pPr>
              <w:pStyle w:val="List Paragraph"/>
              <w:spacing w:line="240" w:lineRule="auto"/>
              <w:ind w:left="543" w:firstLine="0"/>
            </w:pP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Juhul kui teenuse pakkujal tekib vajadus talle teatavaks saanud Kaitstavat Teavet jagada </w:t>
            </w:r>
            <w:r>
              <w:rPr>
                <w:rtl w:val="0"/>
              </w:rPr>
              <w:t>Hulgim</w:t>
            </w:r>
            <w:r>
              <w:rPr>
                <w:rtl w:val="0"/>
              </w:rPr>
              <w:t>üü</w:t>
            </w:r>
            <w:r>
              <w:rPr>
                <w:rtl w:val="0"/>
              </w:rPr>
              <w:t>jaga</w:t>
            </w:r>
            <w:r>
              <w:rPr>
                <w:rtl w:val="0"/>
                <w:lang w:val="en-US"/>
              </w:rPr>
              <w:t xml:space="preserve"> on see lubatud 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ksnes REKS</w:t>
            </w:r>
            <w:r>
              <w:rPr>
                <w:rtl w:val="0"/>
              </w:rPr>
              <w:t>’</w:t>
            </w:r>
            <w:r>
              <w:rPr>
                <w:rtl w:val="0"/>
                <w:lang w:val="nl-NL"/>
              </w:rPr>
              <w:t>i eelneval n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 xml:space="preserve">usolekul ja tingimusel, et </w:t>
            </w:r>
            <w:r>
              <w:rPr>
                <w:rtl w:val="0"/>
              </w:rPr>
              <w:t>Hulgim</w:t>
            </w:r>
            <w:r>
              <w:rPr>
                <w:rtl w:val="0"/>
              </w:rPr>
              <w:t>üü</w:t>
            </w:r>
            <w:r>
              <w:rPr>
                <w:rtl w:val="0"/>
              </w:rPr>
              <w:t>ja</w:t>
            </w:r>
            <w:r>
              <w:rPr>
                <w:rtl w:val="0"/>
              </w:rPr>
              <w:t xml:space="preserve"> s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lmib k</w:t>
            </w:r>
            <w:r>
              <w:rPr>
                <w:rtl w:val="0"/>
              </w:rPr>
              <w:t>ä</w:t>
            </w:r>
            <w:r>
              <w:rPr>
                <w:rtl w:val="0"/>
                <w:lang w:val="nl-NL"/>
              </w:rPr>
              <w:t>esoleva kokkuleppega analoogse kokkuleppe.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line="240" w:lineRule="auto"/>
            </w:pPr>
            <w:r>
              <w:rPr>
                <w:rtl w:val="0"/>
              </w:rPr>
              <w:t>Teenuse pakkuja m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istab, et Kaitstud Teave kuulub t</w:t>
            </w:r>
            <w:r>
              <w:rPr>
                <w:rtl w:val="0"/>
              </w:rPr>
              <w:t>ä</w:t>
            </w:r>
            <w:r>
              <w:rPr>
                <w:rtl w:val="0"/>
                <w:lang w:val="es-ES_tradnl"/>
              </w:rPr>
              <w:t xml:space="preserve">ies ulatuses REKS-ile ning REKS-il on igal ajal 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fr-FR"/>
              </w:rPr>
              <w:t>igus n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uda Kaitstud Teabe ja k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ige sellega seonduva tagastamist v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i h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vitamist.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line="240" w:lineRule="auto"/>
            </w:pPr>
            <w:r>
              <w:rPr>
                <w:rtl w:val="0"/>
              </w:rPr>
              <w:t>K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esolevas kokkuleppes toodud kohustuste rikkumise korral on REKS-il 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fr-FR"/>
              </w:rPr>
              <w:t>igus n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uda leppetrahvi tasumist summas 5 000 EUR [viis tuhat eurot] rikkumise kohta, samuti leppetrahviga katmata kahju h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vitamist.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line="240" w:lineRule="auto"/>
            </w:pPr>
            <w:r>
              <w:rPr>
                <w:rtl w:val="0"/>
              </w:rPr>
              <w:t>K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esolev kokkulepe kehtib kuni </w:t>
            </w:r>
            <w:r>
              <w:rPr>
                <w:rtl w:val="0"/>
              </w:rPr>
              <w:t>Hulgim</w:t>
            </w:r>
            <w:r>
              <w:rPr>
                <w:rtl w:val="0"/>
              </w:rPr>
              <w:t>üü</w:t>
            </w:r>
            <w:r>
              <w:rPr>
                <w:rtl w:val="0"/>
              </w:rPr>
              <w:t xml:space="preserve">ja </w:t>
            </w:r>
            <w:r>
              <w:rPr>
                <w:rtl w:val="0"/>
              </w:rPr>
              <w:t>on REKS andmebaasiga liidestatud ning 5 (viis) aastat peale seda.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line="240" w:lineRule="auto"/>
            </w:pPr>
            <w:r>
              <w:rPr>
                <w:rtl w:val="0"/>
              </w:rPr>
              <w:t>K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esolev kokkulepe loetakse j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>ustunuks digitaalallkirjastamise kuup</w:t>
            </w:r>
            <w:r>
              <w:rPr>
                <w:rtl w:val="0"/>
              </w:rPr>
              <w:t>ä</w:t>
            </w:r>
            <w:r>
              <w:rPr>
                <w:rtl w:val="0"/>
                <w:lang w:val="pt-PT"/>
              </w:rPr>
              <w:t>eval.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jc w:val="left"/>
      </w:pPr>
    </w:p>
    <w:p>
      <w:pPr>
        <w:pStyle w:val="Body A"/>
        <w:widowControl w:val="0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b w:val="1"/>
          <w:bCs w:val="1"/>
          <w:rtl w:val="0"/>
        </w:rPr>
        <w:t>Teenuse pakkuja:</w:t>
      </w:r>
      <w:r>
        <w:rPr>
          <w:rFonts w:cs="Arial Unicode MS" w:eastAsia="Arial Unicode MS"/>
          <w:rtl w:val="0"/>
          <w:lang w:val="en-US"/>
        </w:rPr>
        <w:t xml:space="preserve"> </w:t>
        <w:tab/>
        <w:t>_______________________</w:t>
      </w:r>
    </w:p>
    <w:p>
      <w:pPr>
        <w:pStyle w:val="Body A"/>
      </w:pPr>
      <w:r>
        <w:rPr>
          <w:rFonts w:cs="Arial Unicode MS" w:eastAsia="Arial Unicode MS"/>
          <w:rtl w:val="0"/>
        </w:rPr>
        <w:tab/>
        <w:tab/>
        <w:tab/>
        <w:t>/nimi ja ametikoht/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1134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jc w:val="right"/>
    </w:pPr>
    <w:r>
      <w:rPr>
        <w:color w:val="000000"/>
        <w:sz w:val="20"/>
        <w:szCs w:val="20"/>
        <w:u w:color="000000"/>
        <w:rtl w:val="0"/>
      </w:rPr>
      <w:fldChar w:fldCharType="begin" w:fldLock="0"/>
    </w:r>
    <w:r>
      <w:rPr>
        <w:color w:val="000000"/>
        <w:sz w:val="20"/>
        <w:szCs w:val="20"/>
        <w:u w:color="000000"/>
        <w:rtl w:val="0"/>
      </w:rPr>
      <w:instrText xml:space="preserve"> PAGE </w:instrText>
    </w:r>
    <w:r>
      <w:rPr>
        <w:color w:val="000000"/>
        <w:sz w:val="20"/>
        <w:szCs w:val="20"/>
        <w:u w:color="000000"/>
        <w:rtl w:val="0"/>
      </w:rPr>
      <w:fldChar w:fldCharType="separate" w:fldLock="0"/>
    </w:r>
    <w:r>
      <w:rPr>
        <w:color w:val="000000"/>
        <w:sz w:val="20"/>
        <w:szCs w:val="20"/>
        <w:u w:color="000000"/>
        <w:rtl w:val="0"/>
      </w:rPr>
      <w:t>2</w:t>
    </w:r>
    <w:r>
      <w:rPr>
        <w:color w:val="000000"/>
        <w:sz w:val="20"/>
        <w:szCs w:val="20"/>
        <w:u w:color="000000"/>
        <w:rtl w:val="0"/>
      </w:rPr>
      <w:fldChar w:fldCharType="end" w:fldLock="0"/>
    </w:r>
    <w:r>
      <w:rPr>
        <w:rStyle w:val="page number"/>
        <w:rtl w:val="0"/>
      </w:rPr>
      <w:t xml:space="preserve"> (2)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820"/>
        </w:tabs>
        <w:ind w:left="5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20"/>
        </w:tabs>
        <w:ind w:left="12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20"/>
        </w:tabs>
        <w:ind w:left="198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0"/>
        </w:tabs>
        <w:ind w:left="2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20"/>
        </w:tabs>
        <w:ind w:left="34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20"/>
        </w:tabs>
        <w:ind w:left="414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0"/>
        </w:tabs>
        <w:ind w:left="48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20"/>
        </w:tabs>
        <w:ind w:left="55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20"/>
        </w:tabs>
        <w:ind w:left="630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820"/>
        </w:tabs>
        <w:ind w:left="5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20"/>
        </w:tabs>
        <w:ind w:left="12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20"/>
        </w:tabs>
        <w:ind w:left="198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0"/>
        </w:tabs>
        <w:ind w:left="2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20"/>
        </w:tabs>
        <w:ind w:left="34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20"/>
        </w:tabs>
        <w:ind w:left="414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0"/>
        </w:tabs>
        <w:ind w:left="48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20"/>
        </w:tabs>
        <w:ind w:left="55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20"/>
        </w:tabs>
        <w:ind w:left="630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5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5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5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5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5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5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6"/>
    </w:lvlOverride>
  </w:num>
  <w:num w:numId="10">
    <w:abstractNumId w:val="5"/>
  </w:num>
  <w:num w:numId="11">
    <w:abstractNumId w:val="5"/>
    <w:lvlOverride w:ilvl="0">
      <w:startOverride w:val="7"/>
    </w:lvlOverride>
  </w:num>
  <w:num w:numId="12">
    <w:abstractNumId w:val="6"/>
  </w:num>
  <w:num w:numId="13">
    <w:abstractNumId w:val="6"/>
    <w:lvlOverride w:ilvl="0">
      <w:startOverride w:val="8"/>
    </w:lvlOverride>
  </w:num>
  <w:num w:numId="14">
    <w:abstractNumId w:val="7"/>
  </w:num>
  <w:num w:numId="15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esti" w:val="‘“(〔[{〈《「『【⦅〘〖«〝︵︷︹︻︽︿﹁﹃﹇﹙﹛﹝｢"/>
  <w:noLineBreaksBefore w:lang="eest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16"/>
      <w:szCs w:val="16"/>
      <w:u w:val="none" w:color="666666"/>
      <w:vertAlign w:val="baseline"/>
    </w:rPr>
  </w:style>
  <w:style w:type="character" w:styleId="page number">
    <w:name w:val="page number"/>
    <w:rPr>
      <w:rFonts w:ascii="Arial" w:hAnsi="Arial"/>
      <w:color w:val="000000"/>
      <w:sz w:val="20"/>
      <w:szCs w:val="20"/>
      <w:u w:color="000000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